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2-Accent1"/>
        <w:tblW w:w="13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590"/>
        <w:gridCol w:w="4415"/>
      </w:tblGrid>
      <w:tr w:rsidR="00FD7738" w14:paraId="26897738" w14:textId="77777777" w:rsidTr="000D1F9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one" w:sz="0" w:space="0" w:color="auto"/>
              <w:bottom w:val="none" w:sz="0" w:space="0" w:color="auto"/>
            </w:tcBorders>
          </w:tcPr>
          <w:p w14:paraId="13416478" w14:textId="6CCA0268" w:rsidR="00FD7738" w:rsidRDefault="00FD7738" w:rsidP="00FD7738">
            <w:pPr>
              <w:jc w:val="center"/>
              <w:rPr>
                <w:rFonts w:asciiTheme="majorHAnsi" w:hAnsiTheme="majorHAnsi" w:cstheme="majorHAnsi"/>
                <w:b w:val="0"/>
                <w:bCs w:val="0"/>
                <w:sz w:val="24"/>
                <w:szCs w:val="24"/>
              </w:rPr>
            </w:pPr>
            <w:r w:rsidRPr="00C87DDB">
              <w:rPr>
                <w:rFonts w:asciiTheme="majorHAnsi" w:hAnsiTheme="majorHAnsi" w:cstheme="majorHAnsi"/>
                <w:sz w:val="24"/>
                <w:szCs w:val="24"/>
              </w:rPr>
              <w:t>ISAC Recommendation #</w:t>
            </w:r>
            <w:r w:rsidR="00B6411D">
              <w:rPr>
                <w:rFonts w:asciiTheme="majorHAnsi" w:hAnsiTheme="majorHAnsi" w:cstheme="majorHAnsi"/>
                <w:sz w:val="24"/>
                <w:szCs w:val="24"/>
              </w:rPr>
              <w:t>9</w:t>
            </w:r>
            <w:r w:rsidRPr="00C87DDB">
              <w:rPr>
                <w:rFonts w:asciiTheme="majorHAnsi" w:hAnsiTheme="majorHAnsi" w:cstheme="majorHAnsi"/>
                <w:sz w:val="24"/>
                <w:szCs w:val="24"/>
              </w:rPr>
              <w:t xml:space="preserve">: </w:t>
            </w:r>
            <w:r w:rsidR="00B6411D">
              <w:rPr>
                <w:rFonts w:asciiTheme="majorHAnsi" w:hAnsiTheme="majorHAnsi" w:cstheme="majorHAnsi"/>
                <w:sz w:val="24"/>
                <w:szCs w:val="24"/>
              </w:rPr>
              <w:t>Improve Quality</w:t>
            </w:r>
          </w:p>
          <w:p w14:paraId="5B8CDECC" w14:textId="0CBDC29A" w:rsidR="00C87DDB" w:rsidRPr="00C87DDB" w:rsidRDefault="00B6411D" w:rsidP="00FD7738">
            <w:pPr>
              <w:jc w:val="center"/>
              <w:rPr>
                <w:rFonts w:asciiTheme="majorHAnsi" w:hAnsiTheme="majorHAnsi" w:cstheme="majorHAnsi"/>
                <w:b w:val="0"/>
                <w:bCs w:val="0"/>
                <w:sz w:val="24"/>
                <w:szCs w:val="24"/>
              </w:rPr>
            </w:pPr>
            <w:r w:rsidRPr="00B6411D">
              <w:rPr>
                <w:noProof/>
              </w:rPr>
              <w:drawing>
                <wp:anchor distT="0" distB="0" distL="114300" distR="114300" simplePos="0" relativeHeight="251658240" behindDoc="0" locked="0" layoutInCell="1" allowOverlap="1" wp14:anchorId="7D93F7B5" wp14:editId="2ED07F88">
                  <wp:simplePos x="0" y="0"/>
                  <wp:positionH relativeFrom="column">
                    <wp:posOffset>26670</wp:posOffset>
                  </wp:positionH>
                  <wp:positionV relativeFrom="paragraph">
                    <wp:posOffset>170815</wp:posOffset>
                  </wp:positionV>
                  <wp:extent cx="484505" cy="4749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50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0F30F" w14:textId="245C56DF" w:rsidR="00C87DDB" w:rsidRPr="00047060" w:rsidRDefault="00B6411D" w:rsidP="00B6411D">
            <w:pPr>
              <w:rPr>
                <w:b w:val="0"/>
              </w:rPr>
            </w:pPr>
            <w:r w:rsidRPr="00B6411D">
              <w:rPr>
                <w:b w:val="0"/>
              </w:rPr>
              <w:t>Together we must plan and deliver services and supports that adhere to our values, measure person-centered outcomes, and continuously improve an individual’s quality of life. All stakeholders must be engaged in the process of measuring how well services assist people in achieving an everyday life.</w:t>
            </w:r>
          </w:p>
        </w:tc>
      </w:tr>
      <w:tr w:rsidR="00FD7738" w14:paraId="6A07873A" w14:textId="77777777" w:rsidTr="0020724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945" w:type="dxa"/>
            <w:tcBorders>
              <w:top w:val="none" w:sz="0" w:space="0" w:color="auto"/>
              <w:bottom w:val="none" w:sz="0" w:space="0" w:color="auto"/>
              <w:right w:val="none" w:sz="0" w:space="0" w:color="auto"/>
            </w:tcBorders>
          </w:tcPr>
          <w:p w14:paraId="02AF610F" w14:textId="6478AC2A" w:rsidR="00FD7738" w:rsidRPr="00C87DDB" w:rsidRDefault="00FD7738" w:rsidP="00FD7738">
            <w:pPr>
              <w:jc w:val="center"/>
              <w:rPr>
                <w:rFonts w:asciiTheme="majorHAnsi" w:hAnsiTheme="majorHAnsi" w:cstheme="majorHAnsi"/>
              </w:rPr>
            </w:pPr>
            <w:r w:rsidRPr="00C87DDB">
              <w:rPr>
                <w:rFonts w:asciiTheme="majorHAnsi" w:hAnsiTheme="majorHAnsi" w:cstheme="majorHAnsi"/>
              </w:rPr>
              <w:t>Current Strategy</w:t>
            </w:r>
          </w:p>
        </w:tc>
        <w:tc>
          <w:tcPr>
            <w:tcW w:w="4590" w:type="dxa"/>
            <w:tcBorders>
              <w:top w:val="none" w:sz="0" w:space="0" w:color="auto"/>
              <w:left w:val="none" w:sz="0" w:space="0" w:color="auto"/>
              <w:bottom w:val="none" w:sz="0" w:space="0" w:color="auto"/>
              <w:right w:val="none" w:sz="0" w:space="0" w:color="auto"/>
            </w:tcBorders>
          </w:tcPr>
          <w:p w14:paraId="1D2B3B64" w14:textId="7557757A" w:rsidR="00FD7738" w:rsidRPr="00C87DDB"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87DDB">
              <w:rPr>
                <w:rFonts w:asciiTheme="majorHAnsi" w:hAnsiTheme="majorHAnsi" w:cstheme="majorHAnsi"/>
              </w:rPr>
              <w:t>Accomplishments that support this Strategy</w:t>
            </w:r>
          </w:p>
        </w:tc>
        <w:tc>
          <w:tcPr>
            <w:tcW w:w="4415" w:type="dxa"/>
            <w:tcBorders>
              <w:top w:val="none" w:sz="0" w:space="0" w:color="auto"/>
              <w:left w:val="none" w:sz="0" w:space="0" w:color="auto"/>
              <w:bottom w:val="none" w:sz="0" w:space="0" w:color="auto"/>
            </w:tcBorders>
          </w:tcPr>
          <w:p w14:paraId="6DA6EDB3" w14:textId="77777777" w:rsidR="00E7396D"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87DDB">
              <w:rPr>
                <w:rFonts w:asciiTheme="majorHAnsi" w:hAnsiTheme="majorHAnsi" w:cstheme="majorHAnsi"/>
              </w:rPr>
              <w:t xml:space="preserve">Recommendation for this Strategy </w:t>
            </w:r>
          </w:p>
          <w:p w14:paraId="1E9234FD" w14:textId="1FF89A21" w:rsidR="00FD7738" w:rsidRPr="00C87DDB"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87DDB">
              <w:rPr>
                <w:rFonts w:asciiTheme="majorHAnsi" w:hAnsiTheme="majorHAnsi" w:cstheme="majorHAnsi"/>
              </w:rPr>
              <w:t>(</w:t>
            </w:r>
            <w:r w:rsidR="00380506">
              <w:rPr>
                <w:rFonts w:asciiTheme="majorHAnsi" w:hAnsiTheme="majorHAnsi" w:cstheme="majorHAnsi"/>
              </w:rPr>
              <w:t xml:space="preserve">retain, </w:t>
            </w:r>
            <w:r w:rsidRPr="00C87DDB">
              <w:rPr>
                <w:rFonts w:asciiTheme="majorHAnsi" w:hAnsiTheme="majorHAnsi" w:cstheme="majorHAnsi"/>
              </w:rPr>
              <w:t>revise, replace)</w:t>
            </w:r>
          </w:p>
        </w:tc>
      </w:tr>
      <w:tr w:rsidR="00FD7738" w14:paraId="6065644D" w14:textId="77777777" w:rsidTr="00207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5" w:type="dxa"/>
          </w:tcPr>
          <w:p w14:paraId="0D22A0B1" w14:textId="18F850D4" w:rsidR="00B6411D" w:rsidRPr="00B6411D" w:rsidRDefault="00B6411D" w:rsidP="00CE35C7">
            <w:pPr>
              <w:pStyle w:val="ListParagraph"/>
              <w:numPr>
                <w:ilvl w:val="0"/>
                <w:numId w:val="5"/>
              </w:numPr>
              <w:spacing w:after="60"/>
              <w:rPr>
                <w:b w:val="0"/>
              </w:rPr>
            </w:pPr>
            <w:r>
              <w:rPr>
                <w:b w:val="0"/>
              </w:rPr>
              <w:t>F</w:t>
            </w:r>
            <w:r w:rsidRPr="00B6411D">
              <w:rPr>
                <w:b w:val="0"/>
              </w:rPr>
              <w:t>inalize and disseminate ODP’s updated Quality Management (QM) Strategy Bulletin.</w:t>
            </w:r>
          </w:p>
          <w:p w14:paraId="047B6372" w14:textId="00415272" w:rsidR="00B6411D" w:rsidRPr="00B6411D" w:rsidRDefault="00B6411D" w:rsidP="00CE35C7">
            <w:pPr>
              <w:pStyle w:val="ListParagraph"/>
              <w:numPr>
                <w:ilvl w:val="1"/>
                <w:numId w:val="5"/>
              </w:numPr>
              <w:spacing w:after="60"/>
              <w:ind w:left="690"/>
              <w:rPr>
                <w:b w:val="0"/>
              </w:rPr>
            </w:pPr>
            <w:r w:rsidRPr="00B6411D">
              <w:rPr>
                <w:b w:val="0"/>
              </w:rPr>
              <w:t>Communicates ODP’s mission, vision, and values.</w:t>
            </w:r>
          </w:p>
          <w:p w14:paraId="0CA2C849" w14:textId="628F3C9F" w:rsidR="00B6411D" w:rsidRPr="00B6411D" w:rsidRDefault="00B6411D" w:rsidP="00CE35C7">
            <w:pPr>
              <w:pStyle w:val="ListParagraph"/>
              <w:numPr>
                <w:ilvl w:val="1"/>
                <w:numId w:val="5"/>
              </w:numPr>
              <w:spacing w:after="60"/>
              <w:ind w:left="690"/>
              <w:rPr>
                <w:b w:val="0"/>
              </w:rPr>
            </w:pPr>
            <w:r w:rsidRPr="00B6411D">
              <w:rPr>
                <w:b w:val="0"/>
              </w:rPr>
              <w:t>Establishes the purpose of Quality Management in ODP.</w:t>
            </w:r>
          </w:p>
          <w:p w14:paraId="5BEA5104" w14:textId="1D41E677" w:rsidR="00B6411D" w:rsidRPr="00B6411D" w:rsidRDefault="00B6411D" w:rsidP="00CE35C7">
            <w:pPr>
              <w:pStyle w:val="ListParagraph"/>
              <w:numPr>
                <w:ilvl w:val="1"/>
                <w:numId w:val="5"/>
              </w:numPr>
              <w:spacing w:after="60"/>
              <w:ind w:left="690"/>
              <w:rPr>
                <w:b w:val="0"/>
              </w:rPr>
            </w:pPr>
            <w:r w:rsidRPr="00B6411D">
              <w:rPr>
                <w:b w:val="0"/>
              </w:rPr>
              <w:t>Describes ODP’s QM structure, processes, and tools.</w:t>
            </w:r>
          </w:p>
          <w:p w14:paraId="4732DEA5" w14:textId="6989E587" w:rsidR="00B6411D" w:rsidRPr="00B6411D" w:rsidRDefault="00B6411D" w:rsidP="00CE35C7">
            <w:pPr>
              <w:pStyle w:val="ListParagraph"/>
              <w:numPr>
                <w:ilvl w:val="1"/>
                <w:numId w:val="5"/>
              </w:numPr>
              <w:spacing w:after="60"/>
              <w:ind w:left="690"/>
              <w:rPr>
                <w:b w:val="0"/>
              </w:rPr>
            </w:pPr>
            <w:r w:rsidRPr="00B6411D">
              <w:rPr>
                <w:b w:val="0"/>
              </w:rPr>
              <w:t>Defines expected quality outcomes based on ODP’s Everyday Lives and the Home and Community Based Services (HCBS) Quality Framework.</w:t>
            </w:r>
          </w:p>
          <w:p w14:paraId="059431C4" w14:textId="25191DCD" w:rsidR="00B6411D" w:rsidRPr="00B6411D" w:rsidRDefault="00B6411D" w:rsidP="00CE35C7">
            <w:pPr>
              <w:pStyle w:val="ListParagraph"/>
              <w:numPr>
                <w:ilvl w:val="1"/>
                <w:numId w:val="5"/>
              </w:numPr>
              <w:spacing w:after="60"/>
              <w:ind w:left="690"/>
              <w:rPr>
                <w:b w:val="0"/>
              </w:rPr>
            </w:pPr>
            <w:r w:rsidRPr="00B6411D">
              <w:rPr>
                <w:b w:val="0"/>
              </w:rPr>
              <w:t>Outlines roles and responsibilities for ODP and stakeholders to maintain and improve quality.</w:t>
            </w:r>
          </w:p>
          <w:p w14:paraId="2145ED2B" w14:textId="6AFC1923" w:rsidR="00B6411D" w:rsidRPr="00B6411D" w:rsidRDefault="00B6411D" w:rsidP="00CE35C7">
            <w:pPr>
              <w:pStyle w:val="ListParagraph"/>
              <w:numPr>
                <w:ilvl w:val="1"/>
                <w:numId w:val="5"/>
              </w:numPr>
              <w:spacing w:after="60"/>
              <w:ind w:left="690"/>
              <w:rPr>
                <w:b w:val="0"/>
              </w:rPr>
            </w:pPr>
            <w:r w:rsidRPr="00B6411D">
              <w:rPr>
                <w:b w:val="0"/>
              </w:rPr>
              <w:t>Establishes the ISAC as ODP’s stakeholder Quality Council.</w:t>
            </w:r>
          </w:p>
          <w:p w14:paraId="3DDBBA8D" w14:textId="41E61244" w:rsidR="000D1F9C" w:rsidRPr="000D1F9C" w:rsidRDefault="00B6411D" w:rsidP="00CE35C7">
            <w:pPr>
              <w:pStyle w:val="ListParagraph"/>
              <w:numPr>
                <w:ilvl w:val="1"/>
                <w:numId w:val="5"/>
              </w:numPr>
              <w:spacing w:after="60"/>
              <w:ind w:left="690"/>
              <w:rPr>
                <w:b w:val="0"/>
              </w:rPr>
            </w:pPr>
            <w:r w:rsidRPr="00B6411D">
              <w:rPr>
                <w:b w:val="0"/>
              </w:rPr>
              <w:t>Establishes ODP’s QM Certification Curriculum as part of building system capacity in applying quality management principles and practices</w:t>
            </w:r>
            <w:r>
              <w:rPr>
                <w:b w:val="0"/>
              </w:rPr>
              <w:t xml:space="preserve"> across the system.</w:t>
            </w:r>
          </w:p>
        </w:tc>
        <w:tc>
          <w:tcPr>
            <w:tcW w:w="4590" w:type="dxa"/>
          </w:tcPr>
          <w:p w14:paraId="18462D35" w14:textId="177067C7" w:rsidR="00CE35C7" w:rsidRDefault="00CE35C7" w:rsidP="00CE35C7">
            <w:pPr>
              <w:cnfStyle w:val="000000100000" w:firstRow="0" w:lastRow="0" w:firstColumn="0" w:lastColumn="0" w:oddVBand="0" w:evenVBand="0" w:oddHBand="1" w:evenHBand="0" w:firstRowFirstColumn="0" w:firstRowLastColumn="0" w:lastRowFirstColumn="0" w:lastRowLastColumn="0"/>
            </w:pPr>
            <w:r>
              <w:t xml:space="preserve">ODP updated its QM Strategy Bulletin to incorporate all the bulleted points in </w:t>
            </w:r>
            <w:r w:rsidR="008966AB">
              <w:t>this first strategy</w:t>
            </w:r>
            <w:r>
              <w:t>.  ODP’s QM Strategy Bulletin 00-17-01 was issued and effective on June 20, 2017. The Bulletin remains current.</w:t>
            </w:r>
          </w:p>
          <w:p w14:paraId="39B4401D" w14:textId="77777777" w:rsidR="00DD2976" w:rsidRDefault="00DD2976" w:rsidP="00CE35C7">
            <w:pPr>
              <w:cnfStyle w:val="000000100000" w:firstRow="0" w:lastRow="0" w:firstColumn="0" w:lastColumn="0" w:oddVBand="0" w:evenVBand="0" w:oddHBand="1" w:evenHBand="0" w:firstRowFirstColumn="0" w:firstRowLastColumn="0" w:lastRowFirstColumn="0" w:lastRowLastColumn="0"/>
            </w:pPr>
          </w:p>
          <w:p w14:paraId="31907E14" w14:textId="0EB02FCF" w:rsidR="00DD2976" w:rsidRPr="00047060" w:rsidRDefault="00DD2976" w:rsidP="00CE35C7">
            <w:pPr>
              <w:cnfStyle w:val="000000100000" w:firstRow="0" w:lastRow="0" w:firstColumn="0" w:lastColumn="0" w:oddVBand="0" w:evenVBand="0" w:oddHBand="1" w:evenHBand="0" w:firstRowFirstColumn="0" w:firstRowLastColumn="0" w:lastRowFirstColumn="0" w:lastRowLastColumn="0"/>
            </w:pPr>
            <w:r>
              <w:t>ODP continues to conduct 6-8 QM Certification Classes each year. To date, 423 individuals have become ODP QM Certified, including AE, SC</w:t>
            </w:r>
            <w:r w:rsidR="008966AB">
              <w:t>O, Provider, HCQU and ODP Staff across the State.</w:t>
            </w:r>
          </w:p>
        </w:tc>
        <w:tc>
          <w:tcPr>
            <w:tcW w:w="4415" w:type="dxa"/>
          </w:tcPr>
          <w:p w14:paraId="579D35EA" w14:textId="41F92F2C" w:rsidR="00FD7738" w:rsidRDefault="00CD1E1F" w:rsidP="00CE35C7">
            <w:pPr>
              <w:cnfStyle w:val="000000100000" w:firstRow="0" w:lastRow="0" w:firstColumn="0" w:lastColumn="0" w:oddVBand="0" w:evenVBand="0" w:oddHBand="1" w:evenHBand="0" w:firstRowFirstColumn="0" w:firstRowLastColumn="0" w:lastRowFirstColumn="0" w:lastRowLastColumn="0"/>
            </w:pPr>
            <w:r>
              <w:t xml:space="preserve">Replace </w:t>
            </w:r>
            <w:r w:rsidR="00CE35C7">
              <w:t xml:space="preserve">this strategy </w:t>
            </w:r>
            <w:r>
              <w:t>with</w:t>
            </w:r>
            <w:r w:rsidR="00CE35C7">
              <w:t xml:space="preserve"> the following two</w:t>
            </w:r>
            <w:r>
              <w:t>:</w:t>
            </w:r>
          </w:p>
          <w:p w14:paraId="515BD9F9" w14:textId="09D8C881" w:rsidR="00CD1E1F" w:rsidRDefault="00CD1E1F" w:rsidP="00CE35C7">
            <w:pPr>
              <w:cnfStyle w:val="000000100000" w:firstRow="0" w:lastRow="0" w:firstColumn="0" w:lastColumn="0" w:oddVBand="0" w:evenVBand="0" w:oddHBand="1" w:evenHBand="0" w:firstRowFirstColumn="0" w:firstRowLastColumn="0" w:lastRowFirstColumn="0" w:lastRowLastColumn="0"/>
            </w:pPr>
          </w:p>
          <w:p w14:paraId="51D83836" w14:textId="5FD1117A" w:rsidR="00CD1E1F" w:rsidRDefault="00CD1E1F" w:rsidP="002679DA">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Maintain the I</w:t>
            </w:r>
            <w:r w:rsidR="00DD2976">
              <w:t>nformation Sharing and Advisory Committee (I</w:t>
            </w:r>
            <w:r>
              <w:t>SAC</w:t>
            </w:r>
            <w:r w:rsidR="00DD2976">
              <w:t>)</w:t>
            </w:r>
            <w:r>
              <w:t xml:space="preserve"> as ODP’s Stakeholder Quality Council</w:t>
            </w:r>
            <w:r w:rsidR="00DD2976">
              <w:t xml:space="preserve">, the entity that creates a detailed series of recommendations, strategies, and performance measures to guide the Office of Developmental Programs (ODP) and gauge its progress in achieving the important goals put forth in Everyday Lives. The ISAC will continue to use the quality improvement framework to plan and implement improvements, assess whether we achieve outcomes as intended, make changes as needed, and embed successful practices in the system. </w:t>
            </w:r>
          </w:p>
          <w:p w14:paraId="0CDE3A62" w14:textId="77777777" w:rsidR="00DD2976" w:rsidRDefault="00DD2976" w:rsidP="00DD2976">
            <w:pPr>
              <w:pStyle w:val="ListParagraph"/>
              <w:ind w:left="360"/>
              <w:cnfStyle w:val="000000100000" w:firstRow="0" w:lastRow="0" w:firstColumn="0" w:lastColumn="0" w:oddVBand="0" w:evenVBand="0" w:oddHBand="1" w:evenHBand="0" w:firstRowFirstColumn="0" w:firstRowLastColumn="0" w:lastRowFirstColumn="0" w:lastRowLastColumn="0"/>
            </w:pPr>
          </w:p>
          <w:p w14:paraId="0F418A5A" w14:textId="3AE3D183" w:rsidR="008966AB" w:rsidRPr="00047060" w:rsidRDefault="00CD1E1F" w:rsidP="00EF783E">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Continue to offer ODP’s QM Certification Curriculum to build system capacity in applying quality management principles and practices across the system.</w:t>
            </w:r>
          </w:p>
        </w:tc>
      </w:tr>
      <w:tr w:rsidR="00FD7738" w14:paraId="56A7AFEA" w14:textId="77777777" w:rsidTr="00207249">
        <w:trPr>
          <w:jc w:val="center"/>
        </w:trPr>
        <w:tc>
          <w:tcPr>
            <w:cnfStyle w:val="001000000000" w:firstRow="0" w:lastRow="0" w:firstColumn="1" w:lastColumn="0" w:oddVBand="0" w:evenVBand="0" w:oddHBand="0" w:evenHBand="0" w:firstRowFirstColumn="0" w:firstRowLastColumn="0" w:lastRowFirstColumn="0" w:lastRowLastColumn="0"/>
            <w:tcW w:w="4945" w:type="dxa"/>
          </w:tcPr>
          <w:p w14:paraId="2CC5D45C" w14:textId="1B8CB129" w:rsidR="00FD7738" w:rsidRPr="00B6411D" w:rsidRDefault="00B6411D" w:rsidP="00CD1E1F">
            <w:pPr>
              <w:numPr>
                <w:ilvl w:val="0"/>
                <w:numId w:val="11"/>
              </w:numPr>
              <w:spacing w:after="60"/>
              <w:rPr>
                <w:b w:val="0"/>
              </w:rPr>
            </w:pPr>
            <w:r w:rsidRPr="00B6411D">
              <w:rPr>
                <w:b w:val="0"/>
              </w:rPr>
              <w:t>Develop and disseminate an ODP annual report to show the implementation of approved recommendations and strategies across the system.</w:t>
            </w:r>
            <w:r w:rsidR="000D1F9C" w:rsidRPr="00B6411D">
              <w:rPr>
                <w:b w:val="0"/>
              </w:rPr>
              <w:t xml:space="preserve"> </w:t>
            </w:r>
          </w:p>
        </w:tc>
        <w:tc>
          <w:tcPr>
            <w:tcW w:w="4590" w:type="dxa"/>
          </w:tcPr>
          <w:p w14:paraId="3C70A6F6" w14:textId="4AD66AF7" w:rsidR="008966AB" w:rsidRPr="00047060" w:rsidRDefault="004A2E38" w:rsidP="008966AB">
            <w:pPr>
              <w:cnfStyle w:val="000000000000" w:firstRow="0" w:lastRow="0" w:firstColumn="0" w:lastColumn="0" w:oddVBand="0" w:evenVBand="0" w:oddHBand="0" w:evenHBand="0" w:firstRowFirstColumn="0" w:firstRowLastColumn="0" w:lastRowFirstColumn="0" w:lastRowLastColumn="0"/>
            </w:pPr>
            <w:r>
              <w:t xml:space="preserve">ODP has developed and published a report on </w:t>
            </w:r>
            <w:r w:rsidR="008966AB">
              <w:t xml:space="preserve">progress made to achieve </w:t>
            </w:r>
            <w:r>
              <w:t xml:space="preserve">ISAC Recommendations, Strategies, and Performance Measures annually—in 2016, 2017, and 2018. 2017 and 2018 Reports capture </w:t>
            </w:r>
            <w:r>
              <w:lastRenderedPageBreak/>
              <w:t>Accomplishments along with updates to performance measures.</w:t>
            </w:r>
            <w:bookmarkStart w:id="0" w:name="_GoBack"/>
            <w:bookmarkEnd w:id="0"/>
          </w:p>
        </w:tc>
        <w:tc>
          <w:tcPr>
            <w:tcW w:w="4415" w:type="dxa"/>
          </w:tcPr>
          <w:p w14:paraId="48C20787" w14:textId="5F05FE75" w:rsidR="00FD7738" w:rsidRPr="00047060" w:rsidRDefault="00CD1E1F" w:rsidP="008966AB">
            <w:pPr>
              <w:cnfStyle w:val="000000000000" w:firstRow="0" w:lastRow="0" w:firstColumn="0" w:lastColumn="0" w:oddVBand="0" w:evenVBand="0" w:oddHBand="0" w:evenHBand="0" w:firstRowFirstColumn="0" w:firstRowLastColumn="0" w:lastRowFirstColumn="0" w:lastRowLastColumn="0"/>
            </w:pPr>
            <w:r>
              <w:lastRenderedPageBreak/>
              <w:t xml:space="preserve">Retain as Strategy 3. </w:t>
            </w:r>
          </w:p>
        </w:tc>
      </w:tr>
      <w:tr w:rsidR="00FD7738" w14:paraId="7838AD0A" w14:textId="77777777" w:rsidTr="00207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5" w:type="dxa"/>
          </w:tcPr>
          <w:p w14:paraId="7A149718" w14:textId="7DC0FEB4" w:rsidR="00170776" w:rsidRPr="00BD37DD" w:rsidRDefault="00B6411D" w:rsidP="00CD1E1F">
            <w:pPr>
              <w:numPr>
                <w:ilvl w:val="0"/>
                <w:numId w:val="11"/>
              </w:numPr>
              <w:spacing w:after="60"/>
              <w:rPr>
                <w:b w:val="0"/>
              </w:rPr>
            </w:pPr>
            <w:r w:rsidRPr="00B6411D">
              <w:rPr>
                <w:b w:val="0"/>
              </w:rPr>
              <w:t>Create a provider profile to assist individuals, self-advocates, and families to make informed choices about providers and services.</w:t>
            </w:r>
          </w:p>
        </w:tc>
        <w:tc>
          <w:tcPr>
            <w:tcW w:w="4590" w:type="dxa"/>
          </w:tcPr>
          <w:p w14:paraId="52E561A1" w14:textId="77777777" w:rsidR="00FD7738" w:rsidRDefault="008966AB" w:rsidP="008966AB">
            <w:pPr>
              <w:cnfStyle w:val="000000100000" w:firstRow="0" w:lastRow="0" w:firstColumn="0" w:lastColumn="0" w:oddVBand="0" w:evenVBand="0" w:oddHBand="1" w:evenHBand="0" w:firstRowFirstColumn="0" w:firstRowLastColumn="0" w:lastRowFirstColumn="0" w:lastRowLastColumn="0"/>
            </w:pPr>
            <w:r>
              <w:t>The Provider Profile Workgroup continues to work to develop and disseminate Provider Profiles. The initial set of Provider Profiles will incorporate a Provider Profile Summary submitted by 84 Residential Providers and a corresponding Provider Data Display using IM4Q data from the 2017 IM4Q Data File.</w:t>
            </w:r>
          </w:p>
          <w:p w14:paraId="1976D35C" w14:textId="77777777" w:rsidR="008966AB" w:rsidRDefault="008966AB" w:rsidP="008966AB">
            <w:pPr>
              <w:cnfStyle w:val="000000100000" w:firstRow="0" w:lastRow="0" w:firstColumn="0" w:lastColumn="0" w:oddVBand="0" w:evenVBand="0" w:oddHBand="1" w:evenHBand="0" w:firstRowFirstColumn="0" w:firstRowLastColumn="0" w:lastRowFirstColumn="0" w:lastRowLastColumn="0"/>
            </w:pPr>
          </w:p>
          <w:p w14:paraId="02F573ED" w14:textId="0023E94C" w:rsidR="008966AB" w:rsidRPr="00047060" w:rsidRDefault="008966AB" w:rsidP="001B42C3">
            <w:pPr>
              <w:cnfStyle w:val="000000100000" w:firstRow="0" w:lastRow="0" w:firstColumn="0" w:lastColumn="0" w:oddVBand="0" w:evenVBand="0" w:oddHBand="1" w:evenHBand="0" w:firstRowFirstColumn="0" w:firstRowLastColumn="0" w:lastRowFirstColumn="0" w:lastRowLastColumn="0"/>
            </w:pPr>
            <w:r>
              <w:t xml:space="preserve">Initial Provider Profiles </w:t>
            </w:r>
            <w:proofErr w:type="gramStart"/>
            <w:r w:rsidR="001B42C3">
              <w:t>will be posted</w:t>
            </w:r>
            <w:proofErr w:type="gramEnd"/>
            <w:r w:rsidR="001B42C3">
              <w:t xml:space="preserve"> in Spring 2019 to MyODP.org, and training will be provided to the field on using Provider Profiles to support individuals and families when choosing Providers. </w:t>
            </w:r>
          </w:p>
        </w:tc>
        <w:tc>
          <w:tcPr>
            <w:tcW w:w="4415" w:type="dxa"/>
          </w:tcPr>
          <w:p w14:paraId="1D6CF67C" w14:textId="3147E53A" w:rsidR="00FD7738" w:rsidRPr="00047060" w:rsidRDefault="00CD1E1F" w:rsidP="008966AB">
            <w:pPr>
              <w:jc w:val="both"/>
              <w:cnfStyle w:val="000000100000" w:firstRow="0" w:lastRow="0" w:firstColumn="0" w:lastColumn="0" w:oddVBand="0" w:evenVBand="0" w:oddHBand="1" w:evenHBand="0" w:firstRowFirstColumn="0" w:firstRowLastColumn="0" w:lastRowFirstColumn="0" w:lastRowLastColumn="0"/>
            </w:pPr>
            <w:r>
              <w:t>Retain as Strategy 4.</w:t>
            </w:r>
          </w:p>
        </w:tc>
      </w:tr>
    </w:tbl>
    <w:p w14:paraId="37893230" w14:textId="77777777" w:rsidR="00C87DDB" w:rsidRDefault="00C87DDB"/>
    <w:tbl>
      <w:tblPr>
        <w:tblStyle w:val="GridTable2-Accent1"/>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0"/>
      </w:tblGrid>
      <w:tr w:rsidR="001F2D80" w14:paraId="0D09442D" w14:textId="77777777" w:rsidTr="00AC59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60" w:type="dxa"/>
            <w:tcBorders>
              <w:top w:val="none" w:sz="0" w:space="0" w:color="auto"/>
              <w:bottom w:val="none" w:sz="0" w:space="0" w:color="auto"/>
            </w:tcBorders>
          </w:tcPr>
          <w:p w14:paraId="1A626231" w14:textId="77777777" w:rsidR="001F2D80" w:rsidRPr="001F2D80" w:rsidRDefault="001F2D80" w:rsidP="001F2D80">
            <w:pPr>
              <w:jc w:val="center"/>
              <w:rPr>
                <w:rFonts w:asciiTheme="majorHAnsi" w:hAnsiTheme="majorHAnsi" w:cstheme="majorHAnsi"/>
                <w:b w:val="0"/>
                <w:bCs w:val="0"/>
              </w:rPr>
            </w:pPr>
            <w:r w:rsidRPr="001F2D80">
              <w:rPr>
                <w:rFonts w:asciiTheme="majorHAnsi" w:hAnsiTheme="majorHAnsi" w:cstheme="majorHAnsi"/>
              </w:rPr>
              <w:t>New Strategies and/or Strategies that have been implemented but were not included in the original 2016 list</w:t>
            </w:r>
          </w:p>
          <w:p w14:paraId="24F60422" w14:textId="6356F784" w:rsidR="001F2D80" w:rsidRPr="00047060" w:rsidRDefault="001F2D80" w:rsidP="001F2D80">
            <w:pPr>
              <w:jc w:val="center"/>
            </w:pPr>
          </w:p>
        </w:tc>
      </w:tr>
      <w:tr w:rsidR="00E7396D" w14:paraId="7AE49E6D" w14:textId="77777777" w:rsidTr="00AC59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60" w:type="dxa"/>
          </w:tcPr>
          <w:p w14:paraId="5A7C3596" w14:textId="1CB0DF63" w:rsidR="00E7396D" w:rsidRDefault="00DE6874" w:rsidP="001F2D80">
            <w:pPr>
              <w:rPr>
                <w:rFonts w:asciiTheme="majorHAnsi" w:hAnsiTheme="majorHAnsi" w:cstheme="majorHAnsi"/>
                <w:b w:val="0"/>
                <w:bCs w:val="0"/>
              </w:rPr>
            </w:pPr>
            <w:r>
              <w:rPr>
                <w:rFonts w:asciiTheme="majorHAnsi" w:hAnsiTheme="majorHAnsi" w:cstheme="majorHAnsi"/>
                <w:b w:val="0"/>
                <w:bCs w:val="0"/>
              </w:rPr>
              <w:t>5</w:t>
            </w:r>
            <w:r w:rsidR="00E7396D">
              <w:rPr>
                <w:rFonts w:asciiTheme="majorHAnsi" w:hAnsiTheme="majorHAnsi" w:cstheme="majorHAnsi"/>
                <w:b w:val="0"/>
                <w:bCs w:val="0"/>
              </w:rPr>
              <w:t>.</w:t>
            </w:r>
            <w:r w:rsidR="00CD1E1F">
              <w:rPr>
                <w:rFonts w:asciiTheme="majorHAnsi" w:hAnsiTheme="majorHAnsi" w:cstheme="majorHAnsi"/>
                <w:b w:val="0"/>
                <w:bCs w:val="0"/>
              </w:rPr>
              <w:t xml:space="preserve"> Develop, implement, and maintain Quality Assessment and Improvement (QA&amp;I) process as ODP’s annual monitoring of the system’s performance in supporting individuals and families</w:t>
            </w:r>
            <w:r w:rsidR="00F1684D">
              <w:rPr>
                <w:rFonts w:asciiTheme="majorHAnsi" w:hAnsiTheme="majorHAnsi" w:cstheme="majorHAnsi"/>
                <w:b w:val="0"/>
                <w:bCs w:val="0"/>
              </w:rPr>
              <w:t>.</w:t>
            </w:r>
          </w:p>
          <w:p w14:paraId="4876A072" w14:textId="66D2DC45" w:rsidR="00142BEC" w:rsidRDefault="00142BEC" w:rsidP="001F2D80">
            <w:pPr>
              <w:rPr>
                <w:rFonts w:asciiTheme="majorHAnsi" w:hAnsiTheme="majorHAnsi" w:cstheme="majorHAnsi"/>
                <w:b w:val="0"/>
                <w:bCs w:val="0"/>
              </w:rPr>
            </w:pPr>
          </w:p>
          <w:p w14:paraId="42593EA0" w14:textId="235ADA63" w:rsidR="00142BEC" w:rsidRDefault="00142BEC" w:rsidP="001F2D80">
            <w:pPr>
              <w:rPr>
                <w:rFonts w:asciiTheme="majorHAnsi" w:hAnsiTheme="majorHAnsi" w:cstheme="majorHAnsi"/>
              </w:rPr>
            </w:pPr>
            <w:r>
              <w:rPr>
                <w:rFonts w:asciiTheme="majorHAnsi" w:hAnsiTheme="majorHAnsi" w:cstheme="majorHAnsi"/>
                <w:b w:val="0"/>
                <w:bCs w:val="0"/>
              </w:rPr>
              <w:t>QA&amp;I Process was implemented in July 2017 and is ODP’s primary assessment tool to evaluate individuals’ experience across our system, including individual interviews and evaluation of AEs, SCOs, and Providers. QA&amp;I assesses both our quality assurance and quality improvement activities. QA&amp;I involves programs across ODP, including CMS Waivers and Agency with Choice entities.</w:t>
            </w:r>
          </w:p>
          <w:p w14:paraId="4F5B414A" w14:textId="5C259D9D" w:rsidR="00E7396D" w:rsidRPr="001F2D80" w:rsidRDefault="00E7396D" w:rsidP="001F2D80">
            <w:pPr>
              <w:rPr>
                <w:rFonts w:asciiTheme="majorHAnsi" w:hAnsiTheme="majorHAnsi" w:cstheme="majorHAnsi"/>
              </w:rPr>
            </w:pPr>
          </w:p>
        </w:tc>
      </w:tr>
    </w:tbl>
    <w:p w14:paraId="78F89500" w14:textId="77777777" w:rsidR="00FA3958" w:rsidRDefault="00FA3958" w:rsidP="00DE6874"/>
    <w:sectPr w:rsidR="00FA3958" w:rsidSect="00E7396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EDCA" w14:textId="77777777" w:rsidR="00C87DDB" w:rsidRDefault="00C87DDB" w:rsidP="00C87DDB">
      <w:pPr>
        <w:spacing w:after="0" w:line="240" w:lineRule="auto"/>
      </w:pPr>
      <w:r>
        <w:separator/>
      </w:r>
    </w:p>
  </w:endnote>
  <w:endnote w:type="continuationSeparator" w:id="0">
    <w:p w14:paraId="32DAD59F" w14:textId="77777777" w:rsidR="00C87DDB" w:rsidRDefault="00C87DDB" w:rsidP="00C8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AF1B" w14:textId="0B9DA9A9" w:rsidR="00C87DDB" w:rsidRPr="00207249" w:rsidRDefault="00C87DDB" w:rsidP="00C87DDB">
    <w:pPr>
      <w:pStyle w:val="Footer"/>
      <w:tabs>
        <w:tab w:val="clear" w:pos="4680"/>
        <w:tab w:val="clear" w:pos="9360"/>
      </w:tabs>
      <w:rPr>
        <w:caps/>
        <w:noProof/>
        <w:color w:val="4472C4" w:themeColor="accent1"/>
        <w:sz w:val="20"/>
        <w:szCs w:val="20"/>
      </w:rPr>
    </w:pPr>
    <w:r w:rsidRPr="00207249">
      <w:rPr>
        <w:caps/>
        <w:color w:val="4472C4" w:themeColor="accent1"/>
        <w:sz w:val="20"/>
        <w:szCs w:val="20"/>
      </w:rPr>
      <w:t>0</w:t>
    </w:r>
    <w:r w:rsidR="00207249" w:rsidRPr="00207249">
      <w:rPr>
        <w:caps/>
        <w:color w:val="4472C4" w:themeColor="accent1"/>
        <w:sz w:val="20"/>
        <w:szCs w:val="20"/>
      </w:rPr>
      <w:t>3</w:t>
    </w:r>
    <w:r w:rsidRPr="00207249">
      <w:rPr>
        <w:caps/>
        <w:color w:val="4472C4" w:themeColor="accent1"/>
        <w:sz w:val="20"/>
        <w:szCs w:val="20"/>
      </w:rPr>
      <w:t xml:space="preserve"> </w:t>
    </w:r>
    <w:r w:rsidR="00207249" w:rsidRPr="00207249">
      <w:rPr>
        <w:caps/>
        <w:color w:val="4472C4" w:themeColor="accent1"/>
        <w:sz w:val="20"/>
        <w:szCs w:val="20"/>
      </w:rPr>
      <w:t>20</w:t>
    </w:r>
    <w:r w:rsidRPr="00207249">
      <w:rPr>
        <w:caps/>
        <w:color w:val="4472C4" w:themeColor="accent1"/>
        <w:sz w:val="20"/>
        <w:szCs w:val="20"/>
      </w:rPr>
      <w:t xml:space="preserve"> 19                                                                                                                                              </w:t>
    </w:r>
    <w:r w:rsidR="00E7396D" w:rsidRPr="00207249">
      <w:rPr>
        <w:caps/>
        <w:color w:val="4472C4" w:themeColor="accent1"/>
        <w:sz w:val="20"/>
        <w:szCs w:val="20"/>
      </w:rPr>
      <w:t xml:space="preserve">                                                                     </w:t>
    </w:r>
    <w:r w:rsidRPr="00207249">
      <w:rPr>
        <w:caps/>
        <w:color w:val="4472C4" w:themeColor="accent1"/>
        <w:sz w:val="20"/>
        <w:szCs w:val="20"/>
      </w:rPr>
      <w:t xml:space="preserve">         </w:t>
    </w:r>
    <w:r w:rsidR="00207249">
      <w:rPr>
        <w:caps/>
        <w:color w:val="4472C4" w:themeColor="accent1"/>
        <w:sz w:val="20"/>
        <w:szCs w:val="20"/>
      </w:rPr>
      <w:t xml:space="preserve">                               </w:t>
    </w:r>
    <w:r w:rsidRPr="00207249">
      <w:rPr>
        <w:caps/>
        <w:color w:val="4472C4" w:themeColor="accent1"/>
        <w:sz w:val="20"/>
        <w:szCs w:val="20"/>
      </w:rPr>
      <w:t xml:space="preserve">  </w:t>
    </w:r>
    <w:r w:rsidRPr="00207249">
      <w:rPr>
        <w:caps/>
        <w:color w:val="4472C4" w:themeColor="accent1"/>
        <w:sz w:val="20"/>
        <w:szCs w:val="20"/>
      </w:rPr>
      <w:fldChar w:fldCharType="begin"/>
    </w:r>
    <w:r w:rsidRPr="00207249">
      <w:rPr>
        <w:caps/>
        <w:color w:val="4472C4" w:themeColor="accent1"/>
        <w:sz w:val="20"/>
        <w:szCs w:val="20"/>
      </w:rPr>
      <w:instrText xml:space="preserve"> PAGE   \* MERGEFORMAT </w:instrText>
    </w:r>
    <w:r w:rsidRPr="00207249">
      <w:rPr>
        <w:caps/>
        <w:color w:val="4472C4" w:themeColor="accent1"/>
        <w:sz w:val="20"/>
        <w:szCs w:val="20"/>
      </w:rPr>
      <w:fldChar w:fldCharType="separate"/>
    </w:r>
    <w:r w:rsidR="00425EE2">
      <w:rPr>
        <w:caps/>
        <w:noProof/>
        <w:color w:val="4472C4" w:themeColor="accent1"/>
        <w:sz w:val="20"/>
        <w:szCs w:val="20"/>
      </w:rPr>
      <w:t>2</w:t>
    </w:r>
    <w:r w:rsidRPr="00207249">
      <w:rPr>
        <w:caps/>
        <w:noProof/>
        <w:color w:val="4472C4" w:themeColor="accent1"/>
        <w:sz w:val="20"/>
        <w:szCs w:val="20"/>
      </w:rPr>
      <w:fldChar w:fldCharType="end"/>
    </w:r>
  </w:p>
  <w:p w14:paraId="379899F6" w14:textId="77777777" w:rsidR="00C87DDB" w:rsidRPr="00207249" w:rsidRDefault="00C87DD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7E15" w14:textId="77777777" w:rsidR="00C87DDB" w:rsidRDefault="00C87DDB" w:rsidP="00C87DDB">
      <w:pPr>
        <w:spacing w:after="0" w:line="240" w:lineRule="auto"/>
      </w:pPr>
      <w:r>
        <w:separator/>
      </w:r>
    </w:p>
  </w:footnote>
  <w:footnote w:type="continuationSeparator" w:id="0">
    <w:p w14:paraId="70783A9C" w14:textId="77777777" w:rsidR="00C87DDB" w:rsidRDefault="00C87DDB" w:rsidP="00C8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AC3"/>
    <w:multiLevelType w:val="hybridMultilevel"/>
    <w:tmpl w:val="E8989D2A"/>
    <w:lvl w:ilvl="0" w:tplc="0908BD90">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345D6"/>
    <w:multiLevelType w:val="hybridMultilevel"/>
    <w:tmpl w:val="D0562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05B1"/>
    <w:multiLevelType w:val="hybridMultilevel"/>
    <w:tmpl w:val="C3508A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75974"/>
    <w:multiLevelType w:val="hybridMultilevel"/>
    <w:tmpl w:val="0278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ED1"/>
    <w:multiLevelType w:val="hybridMultilevel"/>
    <w:tmpl w:val="40D6CA6A"/>
    <w:lvl w:ilvl="0" w:tplc="C72ED15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97990"/>
    <w:multiLevelType w:val="hybridMultilevel"/>
    <w:tmpl w:val="3370AA94"/>
    <w:lvl w:ilvl="0" w:tplc="0908BD9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F315F7"/>
    <w:multiLevelType w:val="hybridMultilevel"/>
    <w:tmpl w:val="8828EC3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711E71"/>
    <w:multiLevelType w:val="hybridMultilevel"/>
    <w:tmpl w:val="F33CE4EA"/>
    <w:lvl w:ilvl="0" w:tplc="0908BD90">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0410B7"/>
    <w:multiLevelType w:val="hybridMultilevel"/>
    <w:tmpl w:val="65A8604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DE2281"/>
    <w:multiLevelType w:val="hybridMultilevel"/>
    <w:tmpl w:val="A9604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BA79BF"/>
    <w:multiLevelType w:val="hybridMultilevel"/>
    <w:tmpl w:val="4118C5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0"/>
  </w:num>
  <w:num w:numId="4">
    <w:abstractNumId w:val="7"/>
  </w:num>
  <w:num w:numId="5">
    <w:abstractNumId w:val="10"/>
  </w:num>
  <w:num w:numId="6">
    <w:abstractNumId w:val="3"/>
  </w:num>
  <w:num w:numId="7">
    <w:abstractNumId w:val="9"/>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38"/>
    <w:rsid w:val="00047060"/>
    <w:rsid w:val="000D1F9C"/>
    <w:rsid w:val="00142BEC"/>
    <w:rsid w:val="00170776"/>
    <w:rsid w:val="00173451"/>
    <w:rsid w:val="001B42C3"/>
    <w:rsid w:val="001F2D80"/>
    <w:rsid w:val="00207249"/>
    <w:rsid w:val="003055CE"/>
    <w:rsid w:val="00380506"/>
    <w:rsid w:val="00425EE2"/>
    <w:rsid w:val="00491F73"/>
    <w:rsid w:val="004A2E38"/>
    <w:rsid w:val="004B20D3"/>
    <w:rsid w:val="006252A6"/>
    <w:rsid w:val="0065318F"/>
    <w:rsid w:val="00666697"/>
    <w:rsid w:val="006D2E66"/>
    <w:rsid w:val="00760C30"/>
    <w:rsid w:val="007F037D"/>
    <w:rsid w:val="008966AB"/>
    <w:rsid w:val="008D3F19"/>
    <w:rsid w:val="00A91524"/>
    <w:rsid w:val="00AC59BC"/>
    <w:rsid w:val="00B6411D"/>
    <w:rsid w:val="00BD37DD"/>
    <w:rsid w:val="00C5642F"/>
    <w:rsid w:val="00C87DDB"/>
    <w:rsid w:val="00CD1E1F"/>
    <w:rsid w:val="00CE35C7"/>
    <w:rsid w:val="00D21A9A"/>
    <w:rsid w:val="00DB2F05"/>
    <w:rsid w:val="00DD2976"/>
    <w:rsid w:val="00DE00BC"/>
    <w:rsid w:val="00DE6874"/>
    <w:rsid w:val="00E7396D"/>
    <w:rsid w:val="00EF783E"/>
    <w:rsid w:val="00F1684D"/>
    <w:rsid w:val="00FA3958"/>
    <w:rsid w:val="00FD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D1F55"/>
  <w15:chartTrackingRefBased/>
  <w15:docId w15:val="{0C7E08B8-A8B4-451F-B44F-CDF7312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D77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FD77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C87DDB"/>
    <w:pPr>
      <w:ind w:left="720"/>
      <w:contextualSpacing/>
    </w:pPr>
  </w:style>
  <w:style w:type="paragraph" w:styleId="Header">
    <w:name w:val="header"/>
    <w:basedOn w:val="Normal"/>
    <w:link w:val="HeaderChar"/>
    <w:uiPriority w:val="99"/>
    <w:unhideWhenUsed/>
    <w:rsid w:val="00C87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DDB"/>
  </w:style>
  <w:style w:type="paragraph" w:styleId="Footer">
    <w:name w:val="footer"/>
    <w:basedOn w:val="Normal"/>
    <w:link w:val="FooterChar"/>
    <w:uiPriority w:val="99"/>
    <w:unhideWhenUsed/>
    <w:rsid w:val="00C87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DB"/>
  </w:style>
  <w:style w:type="paragraph" w:styleId="BalloonText">
    <w:name w:val="Balloon Text"/>
    <w:basedOn w:val="Normal"/>
    <w:link w:val="BalloonTextChar"/>
    <w:uiPriority w:val="99"/>
    <w:semiHidden/>
    <w:unhideWhenUsed/>
    <w:rsid w:val="0065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Frantz, Dolores</cp:lastModifiedBy>
  <cp:revision>16</cp:revision>
  <cp:lastPrinted>2019-02-19T19:18:00Z</cp:lastPrinted>
  <dcterms:created xsi:type="dcterms:W3CDTF">2019-03-20T18:14:00Z</dcterms:created>
  <dcterms:modified xsi:type="dcterms:W3CDTF">2019-03-29T15:21:00Z</dcterms:modified>
</cp:coreProperties>
</file>