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2-Accent1"/>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680"/>
        <w:gridCol w:w="4320"/>
      </w:tblGrid>
      <w:tr w:rsidR="00FD7738" w14:paraId="26897738" w14:textId="77777777" w:rsidTr="00D034C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950" w:type="dxa"/>
            <w:gridSpan w:val="3"/>
            <w:tcBorders>
              <w:top w:val="none" w:sz="0" w:space="0" w:color="auto"/>
              <w:bottom w:val="none" w:sz="0" w:space="0" w:color="auto"/>
            </w:tcBorders>
          </w:tcPr>
          <w:p w14:paraId="3BF7D3DF" w14:textId="77777777" w:rsidR="003242E6" w:rsidRDefault="00FD7738" w:rsidP="00FD7738">
            <w:pPr>
              <w:jc w:val="center"/>
              <w:rPr>
                <w:rFonts w:asciiTheme="majorHAnsi" w:hAnsiTheme="majorHAnsi" w:cstheme="majorHAnsi"/>
                <w:b w:val="0"/>
                <w:bCs w:val="0"/>
                <w:sz w:val="24"/>
                <w:szCs w:val="24"/>
              </w:rPr>
            </w:pPr>
            <w:r w:rsidRPr="00FA135A">
              <w:rPr>
                <w:rFonts w:asciiTheme="majorHAnsi" w:hAnsiTheme="majorHAnsi" w:cstheme="majorHAnsi"/>
                <w:sz w:val="24"/>
                <w:szCs w:val="24"/>
              </w:rPr>
              <w:t>ISAC Recommendation #</w:t>
            </w:r>
            <w:r w:rsidR="003242E6">
              <w:rPr>
                <w:rFonts w:asciiTheme="majorHAnsi" w:hAnsiTheme="majorHAnsi" w:cstheme="majorHAnsi"/>
                <w:sz w:val="24"/>
                <w:szCs w:val="24"/>
              </w:rPr>
              <w:t>5</w:t>
            </w:r>
            <w:r w:rsidRPr="00FA135A">
              <w:rPr>
                <w:rFonts w:asciiTheme="majorHAnsi" w:hAnsiTheme="majorHAnsi" w:cstheme="majorHAnsi"/>
                <w:sz w:val="24"/>
                <w:szCs w:val="24"/>
              </w:rPr>
              <w:t xml:space="preserve">: </w:t>
            </w:r>
            <w:r w:rsidR="003242E6" w:rsidRPr="003242E6">
              <w:rPr>
                <w:rFonts w:asciiTheme="majorHAnsi" w:hAnsiTheme="majorHAnsi" w:cstheme="majorHAnsi"/>
                <w:sz w:val="24"/>
                <w:szCs w:val="24"/>
              </w:rPr>
              <w:t>Promote Health, Wellness, and Safety</w:t>
            </w:r>
          </w:p>
          <w:p w14:paraId="7ED796E9" w14:textId="323558BC" w:rsidR="00D60B77" w:rsidRPr="00FA135A" w:rsidRDefault="003242E6" w:rsidP="00FD7738">
            <w:pPr>
              <w:jc w:val="center"/>
              <w:rPr>
                <w:rFonts w:asciiTheme="majorHAnsi" w:hAnsiTheme="majorHAnsi" w:cstheme="majorHAnsi"/>
                <w:b w:val="0"/>
                <w:bCs w:val="0"/>
                <w:sz w:val="24"/>
                <w:szCs w:val="24"/>
              </w:rPr>
            </w:pPr>
            <w:r w:rsidRPr="00BA535B">
              <w:rPr>
                <w:noProof/>
                <w:sz w:val="36"/>
                <w:szCs w:val="36"/>
              </w:rPr>
              <w:drawing>
                <wp:anchor distT="0" distB="0" distL="114300" distR="114300" simplePos="0" relativeHeight="251665408" behindDoc="0" locked="0" layoutInCell="1" allowOverlap="1" wp14:anchorId="4399E616" wp14:editId="021C9FE8">
                  <wp:simplePos x="0" y="0"/>
                  <wp:positionH relativeFrom="column">
                    <wp:posOffset>0</wp:posOffset>
                  </wp:positionH>
                  <wp:positionV relativeFrom="paragraph">
                    <wp:posOffset>193675</wp:posOffset>
                  </wp:positionV>
                  <wp:extent cx="603250" cy="603250"/>
                  <wp:effectExtent l="0" t="0" r="6350" b="6350"/>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nes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14:sizeRelH relativeFrom="page">
                    <wp14:pctWidth>0</wp14:pctWidth>
                  </wp14:sizeRelH>
                  <wp14:sizeRelV relativeFrom="page">
                    <wp14:pctHeight>0</wp14:pctHeight>
                  </wp14:sizeRelV>
                </wp:anchor>
              </w:drawing>
            </w:r>
          </w:p>
          <w:p w14:paraId="5792500D" w14:textId="461AE01D" w:rsidR="00A84065" w:rsidRDefault="003242E6" w:rsidP="00A84065">
            <w:pPr>
              <w:ind w:left="28"/>
              <w:contextualSpacing/>
              <w:rPr>
                <w:bCs w:val="0"/>
              </w:rPr>
            </w:pPr>
            <w:r w:rsidRPr="003242E6">
              <w:rPr>
                <w:b w:val="0"/>
              </w:rPr>
              <w:t>Promote physical and mental health, wellness, and personal safety for every individual and his or her family. Promoting physical and mental health means providing information about health and wellness, emotional support, and encouragement. Tools that help every individual adopt a healthy lifestyle — including good nutrition, healthy diets, physical activity, and strategies to reduce and manage stress and protect oneself from all types of abuse and exploitation — must be provided.</w:t>
            </w:r>
          </w:p>
          <w:p w14:paraId="1014929A" w14:textId="67F40815" w:rsidR="00F65BA0" w:rsidRDefault="00F65BA0" w:rsidP="00A84065">
            <w:pPr>
              <w:ind w:left="28"/>
              <w:contextualSpacing/>
              <w:rPr>
                <w:b w:val="0"/>
              </w:rPr>
            </w:pPr>
          </w:p>
          <w:p w14:paraId="66D77C45" w14:textId="77777777" w:rsidR="00F65BA0" w:rsidRPr="00F65BA0" w:rsidRDefault="00F65BA0" w:rsidP="00F65BA0">
            <w:pPr>
              <w:rPr>
                <w:rFonts w:asciiTheme="majorHAnsi" w:hAnsiTheme="majorHAnsi" w:cstheme="majorHAnsi"/>
                <w:b w:val="0"/>
              </w:rPr>
            </w:pPr>
            <w:r w:rsidRPr="00F65BA0">
              <w:rPr>
                <w:rFonts w:asciiTheme="majorHAnsi" w:hAnsiTheme="majorHAnsi" w:cstheme="majorHAnsi"/>
              </w:rPr>
              <w:t>Strategies:</w:t>
            </w:r>
          </w:p>
          <w:p w14:paraId="73C745BE" w14:textId="77777777" w:rsidR="00F65BA0" w:rsidRPr="00F65BA0" w:rsidRDefault="00F65BA0" w:rsidP="00F65BA0">
            <w:pPr>
              <w:rPr>
                <w:b w:val="0"/>
              </w:rPr>
            </w:pPr>
            <w:r w:rsidRPr="00F65BA0">
              <w:rPr>
                <w:b w:val="0"/>
              </w:rPr>
              <w:t>Overarching plan to meet above recommendation: Develop and implement a comprehensive program of wellness opportunities for people with IDD and autism. Areas including: diet/nutrition; physical activities; emotional wellness; sexuality and healthy relationships; wellness as related to aging; safety and drugs and alcohol.</w:t>
            </w:r>
          </w:p>
          <w:p w14:paraId="7250F30F" w14:textId="765936A5" w:rsidR="003242E6" w:rsidRPr="00047060" w:rsidRDefault="003242E6" w:rsidP="00F65BA0">
            <w:pPr>
              <w:contextualSpacing/>
              <w:rPr>
                <w:b w:val="0"/>
              </w:rPr>
            </w:pPr>
          </w:p>
        </w:tc>
      </w:tr>
      <w:tr w:rsidR="00C87D7C" w14:paraId="6A07873A" w14:textId="77777777" w:rsidTr="00D034C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950" w:type="dxa"/>
            <w:tcBorders>
              <w:top w:val="none" w:sz="0" w:space="0" w:color="auto"/>
              <w:bottom w:val="none" w:sz="0" w:space="0" w:color="auto"/>
              <w:right w:val="none" w:sz="0" w:space="0" w:color="auto"/>
            </w:tcBorders>
          </w:tcPr>
          <w:p w14:paraId="02AF610F" w14:textId="6478AC2A" w:rsidR="00FD7738" w:rsidRPr="00C87DDB" w:rsidRDefault="00FD7738" w:rsidP="00FD7738">
            <w:pPr>
              <w:jc w:val="center"/>
              <w:rPr>
                <w:rFonts w:asciiTheme="majorHAnsi" w:hAnsiTheme="majorHAnsi" w:cstheme="majorHAnsi"/>
              </w:rPr>
            </w:pPr>
            <w:r w:rsidRPr="00C87DDB">
              <w:rPr>
                <w:rFonts w:asciiTheme="majorHAnsi" w:hAnsiTheme="majorHAnsi" w:cstheme="majorHAnsi"/>
              </w:rPr>
              <w:t>Current Strategy</w:t>
            </w:r>
          </w:p>
        </w:tc>
        <w:tc>
          <w:tcPr>
            <w:tcW w:w="4680" w:type="dxa"/>
            <w:tcBorders>
              <w:top w:val="none" w:sz="0" w:space="0" w:color="auto"/>
              <w:left w:val="none" w:sz="0" w:space="0" w:color="auto"/>
              <w:bottom w:val="none" w:sz="0" w:space="0" w:color="auto"/>
              <w:right w:val="none" w:sz="0" w:space="0" w:color="auto"/>
            </w:tcBorders>
          </w:tcPr>
          <w:p w14:paraId="1D2B3B64" w14:textId="7557757A" w:rsidR="00FD7738" w:rsidRPr="0010435C" w:rsidRDefault="00FD7738" w:rsidP="00FD77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0435C">
              <w:rPr>
                <w:rFonts w:asciiTheme="majorHAnsi" w:hAnsiTheme="majorHAnsi" w:cstheme="majorHAnsi"/>
              </w:rPr>
              <w:t>Accomplishments that support this Strategy</w:t>
            </w:r>
          </w:p>
        </w:tc>
        <w:tc>
          <w:tcPr>
            <w:tcW w:w="4320" w:type="dxa"/>
            <w:tcBorders>
              <w:top w:val="none" w:sz="0" w:space="0" w:color="auto"/>
              <w:left w:val="none" w:sz="0" w:space="0" w:color="auto"/>
              <w:bottom w:val="none" w:sz="0" w:space="0" w:color="auto"/>
            </w:tcBorders>
          </w:tcPr>
          <w:p w14:paraId="3B76E104" w14:textId="77777777" w:rsidR="0010435C" w:rsidRPr="0010435C" w:rsidRDefault="00FD7738" w:rsidP="00FD77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0435C">
              <w:rPr>
                <w:rFonts w:asciiTheme="majorHAnsi" w:hAnsiTheme="majorHAnsi" w:cstheme="majorHAnsi"/>
              </w:rPr>
              <w:t xml:space="preserve">Recommendation for this Strategy </w:t>
            </w:r>
          </w:p>
          <w:p w14:paraId="1E9234FD" w14:textId="1E0C58ED" w:rsidR="00FD7738" w:rsidRPr="00C87D7C" w:rsidRDefault="00FD7738" w:rsidP="00FD77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0435C">
              <w:rPr>
                <w:rFonts w:asciiTheme="majorHAnsi" w:hAnsiTheme="majorHAnsi" w:cstheme="majorHAnsi"/>
              </w:rPr>
              <w:t>(</w:t>
            </w:r>
            <w:r w:rsidR="00155C56">
              <w:rPr>
                <w:rFonts w:asciiTheme="majorHAnsi" w:hAnsiTheme="majorHAnsi" w:cstheme="majorHAnsi"/>
              </w:rPr>
              <w:t xml:space="preserve">retain, </w:t>
            </w:r>
            <w:r w:rsidRPr="0010435C">
              <w:rPr>
                <w:rFonts w:asciiTheme="majorHAnsi" w:hAnsiTheme="majorHAnsi" w:cstheme="majorHAnsi"/>
              </w:rPr>
              <w:t>revise, replace)</w:t>
            </w:r>
          </w:p>
        </w:tc>
      </w:tr>
      <w:tr w:rsidR="00273B06" w14:paraId="6065644D" w14:textId="77777777" w:rsidTr="00D034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14:paraId="3DDBBA8D" w14:textId="387A6A20" w:rsidR="00FA135A" w:rsidRPr="00F65BA0" w:rsidRDefault="00F65BA0" w:rsidP="00D034CF">
            <w:pPr>
              <w:numPr>
                <w:ilvl w:val="0"/>
                <w:numId w:val="1"/>
              </w:numPr>
              <w:contextualSpacing/>
              <w:rPr>
                <w:b w:val="0"/>
              </w:rPr>
            </w:pPr>
            <w:r w:rsidRPr="00F65BA0">
              <w:rPr>
                <w:b w:val="0"/>
              </w:rPr>
              <w:t xml:space="preserve">Direct people to existing resources with information on healthy living.  </w:t>
            </w:r>
          </w:p>
        </w:tc>
        <w:tc>
          <w:tcPr>
            <w:tcW w:w="4680" w:type="dxa"/>
          </w:tcPr>
          <w:p w14:paraId="0127257E" w14:textId="77777777" w:rsidR="00FD7738" w:rsidRDefault="00364CE9" w:rsidP="00335A7B">
            <w:pPr>
              <w:jc w:val="both"/>
              <w:cnfStyle w:val="000000100000" w:firstRow="0" w:lastRow="0" w:firstColumn="0" w:lastColumn="0" w:oddVBand="0" w:evenVBand="0" w:oddHBand="1" w:evenHBand="0" w:firstRowFirstColumn="0" w:firstRowLastColumn="0" w:lastRowFirstColumn="0" w:lastRowLastColumn="0"/>
            </w:pPr>
            <w:r>
              <w:t>ODP and Health Care Quality Units have promoted existing resource through: direct training, internet based training (HCQU webinars, access to College of Direct Supports)</w:t>
            </w:r>
            <w:r w:rsidR="005828E2">
              <w:t>.</w:t>
            </w:r>
          </w:p>
          <w:p w14:paraId="17197EC1" w14:textId="77777777" w:rsidR="002B531B" w:rsidRDefault="002B531B" w:rsidP="00335A7B">
            <w:pPr>
              <w:jc w:val="both"/>
              <w:cnfStyle w:val="000000100000" w:firstRow="0" w:lastRow="0" w:firstColumn="0" w:lastColumn="0" w:oddVBand="0" w:evenVBand="0" w:oddHBand="1" w:evenHBand="0" w:firstRowFirstColumn="0" w:firstRowLastColumn="0" w:lastRowFirstColumn="0" w:lastRowLastColumn="0"/>
            </w:pPr>
          </w:p>
          <w:p w14:paraId="31907E14" w14:textId="7E7B2D2F" w:rsidR="002B531B" w:rsidRPr="00047060" w:rsidRDefault="002B531B" w:rsidP="00335A7B">
            <w:pPr>
              <w:jc w:val="both"/>
              <w:cnfStyle w:val="000000100000" w:firstRow="0" w:lastRow="0" w:firstColumn="0" w:lastColumn="0" w:oddVBand="0" w:evenVBand="0" w:oddHBand="1" w:evenHBand="0" w:firstRowFirstColumn="0" w:firstRowLastColumn="0" w:lastRowFirstColumn="0" w:lastRowLastColumn="0"/>
            </w:pPr>
            <w:r>
              <w:t>Availability of creative and expressive therapies as wavier services.  ODP has done direct outreach to therapeutic communities to encourage participation in services by becoming eligible providers.</w:t>
            </w:r>
          </w:p>
        </w:tc>
        <w:tc>
          <w:tcPr>
            <w:tcW w:w="4320" w:type="dxa"/>
          </w:tcPr>
          <w:p w14:paraId="0F418A5A" w14:textId="6C4D7C5D" w:rsidR="00FD7738" w:rsidRPr="00047060" w:rsidRDefault="005828E2" w:rsidP="00D034CF">
            <w:pPr>
              <w:jc w:val="both"/>
              <w:cnfStyle w:val="000000100000" w:firstRow="0" w:lastRow="0" w:firstColumn="0" w:lastColumn="0" w:oddVBand="0" w:evenVBand="0" w:oddHBand="1" w:evenHBand="0" w:firstRowFirstColumn="0" w:firstRowLastColumn="0" w:lastRowFirstColumn="0" w:lastRowLastColumn="0"/>
            </w:pPr>
            <w:r>
              <w:t xml:space="preserve">Recommend </w:t>
            </w:r>
            <w:r w:rsidR="002B531B">
              <w:t>retaining</w:t>
            </w:r>
            <w:r>
              <w:t xml:space="preserve"> this Strategy with a more focused goal of creating a resource guide with available resources by region.  </w:t>
            </w:r>
          </w:p>
        </w:tc>
      </w:tr>
      <w:tr w:rsidR="00C87D7C" w14:paraId="56A7AFEA" w14:textId="77777777" w:rsidTr="00D034CF">
        <w:trPr>
          <w:jc w:val="center"/>
        </w:trPr>
        <w:tc>
          <w:tcPr>
            <w:cnfStyle w:val="001000000000" w:firstRow="0" w:lastRow="0" w:firstColumn="1" w:lastColumn="0" w:oddVBand="0" w:evenVBand="0" w:oddHBand="0" w:evenHBand="0" w:firstRowFirstColumn="0" w:firstRowLastColumn="0" w:lastRowFirstColumn="0" w:lastRowLastColumn="0"/>
            <w:tcW w:w="4950" w:type="dxa"/>
          </w:tcPr>
          <w:p w14:paraId="2CC5D45C" w14:textId="52469CA6" w:rsidR="00FD7738" w:rsidRPr="00F65BA0" w:rsidRDefault="00F65BA0" w:rsidP="00F65BA0">
            <w:pPr>
              <w:numPr>
                <w:ilvl w:val="0"/>
                <w:numId w:val="1"/>
              </w:numPr>
              <w:spacing w:after="60"/>
              <w:rPr>
                <w:b w:val="0"/>
              </w:rPr>
            </w:pPr>
            <w:r w:rsidRPr="00F65BA0">
              <w:rPr>
                <w:b w:val="0"/>
              </w:rPr>
              <w:t>Increase the use of Mental Health First Aid (MHFA) among stakeholders.</w:t>
            </w:r>
          </w:p>
        </w:tc>
        <w:tc>
          <w:tcPr>
            <w:tcW w:w="4680" w:type="dxa"/>
          </w:tcPr>
          <w:p w14:paraId="3C70A6F6" w14:textId="32D99CC2" w:rsidR="00FD7738" w:rsidRPr="00047060" w:rsidRDefault="00BB0FC5" w:rsidP="00D034CF">
            <w:pPr>
              <w:jc w:val="both"/>
              <w:cnfStyle w:val="000000000000" w:firstRow="0" w:lastRow="0" w:firstColumn="0" w:lastColumn="0" w:oddVBand="0" w:evenVBand="0" w:oddHBand="0" w:evenHBand="0" w:firstRowFirstColumn="0" w:firstRowLastColumn="0" w:lastRowFirstColumn="0" w:lastRowLastColumn="0"/>
            </w:pPr>
            <w:r>
              <w:t>Mental Health First Aid training</w:t>
            </w:r>
            <w:r w:rsidR="00A01927">
              <w:t xml:space="preserve"> sessions began </w:t>
            </w:r>
            <w:r w:rsidR="00477319">
              <w:t xml:space="preserve">in January 2018.  Session occur at an average of 2 per month at locations across the Commonwealth.  </w:t>
            </w:r>
          </w:p>
        </w:tc>
        <w:tc>
          <w:tcPr>
            <w:tcW w:w="4320" w:type="dxa"/>
          </w:tcPr>
          <w:p w14:paraId="48C20787" w14:textId="3FCB388E" w:rsidR="00FD7738" w:rsidRPr="00047060" w:rsidRDefault="00477319" w:rsidP="00A91524">
            <w:pPr>
              <w:jc w:val="both"/>
              <w:cnfStyle w:val="000000000000" w:firstRow="0" w:lastRow="0" w:firstColumn="0" w:lastColumn="0" w:oddVBand="0" w:evenVBand="0" w:oddHBand="0" w:evenHBand="0" w:firstRowFirstColumn="0" w:firstRowLastColumn="0" w:lastRowFirstColumn="0" w:lastRowLastColumn="0"/>
            </w:pPr>
            <w:r>
              <w:t xml:space="preserve">Retain this Strategy, as MHFA increases the ability to recognize mental health issues earlier and therefore increase the likelihood of treatment being sought sooner.  </w:t>
            </w:r>
          </w:p>
        </w:tc>
      </w:tr>
      <w:tr w:rsidR="00273B06" w14:paraId="7838AD0A" w14:textId="77777777" w:rsidTr="00D034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14:paraId="7A149718" w14:textId="7B361596" w:rsidR="00D034CF" w:rsidRDefault="00F65BA0" w:rsidP="00F65BA0">
            <w:pPr>
              <w:numPr>
                <w:ilvl w:val="0"/>
                <w:numId w:val="1"/>
              </w:numPr>
              <w:spacing w:after="60"/>
              <w:rPr>
                <w:bCs w:val="0"/>
              </w:rPr>
            </w:pPr>
            <w:r w:rsidRPr="00F65BA0">
              <w:rPr>
                <w:b w:val="0"/>
              </w:rPr>
              <w:t>Update, disseminate, and provide training on sexuality guidelines.</w:t>
            </w:r>
          </w:p>
          <w:p w14:paraId="587F7BE8" w14:textId="77777777" w:rsidR="00D034CF" w:rsidRPr="00D034CF" w:rsidRDefault="00D034CF" w:rsidP="00D034CF"/>
          <w:p w14:paraId="6DE0571A" w14:textId="77777777" w:rsidR="00D034CF" w:rsidRPr="00D034CF" w:rsidRDefault="00D034CF" w:rsidP="00D034CF"/>
          <w:p w14:paraId="64E71A0B" w14:textId="553024B9" w:rsidR="00D034CF" w:rsidRDefault="00D034CF" w:rsidP="00D034CF">
            <w:pPr>
              <w:rPr>
                <w:b w:val="0"/>
                <w:bCs w:val="0"/>
              </w:rPr>
            </w:pPr>
          </w:p>
          <w:p w14:paraId="32FDB6A2" w14:textId="77777777" w:rsidR="00FD7738" w:rsidRPr="00D034CF" w:rsidRDefault="00FD7738" w:rsidP="00D034CF"/>
        </w:tc>
        <w:tc>
          <w:tcPr>
            <w:tcW w:w="4680" w:type="dxa"/>
          </w:tcPr>
          <w:p w14:paraId="18C71346" w14:textId="4EC4B0B5" w:rsidR="001D23DF" w:rsidRDefault="008F1901" w:rsidP="00A91524">
            <w:pPr>
              <w:jc w:val="both"/>
              <w:cnfStyle w:val="000000100000" w:firstRow="0" w:lastRow="0" w:firstColumn="0" w:lastColumn="0" w:oddVBand="0" w:evenVBand="0" w:oddHBand="1" w:evenHBand="0" w:firstRowFirstColumn="0" w:firstRowLastColumn="0" w:lastRowFirstColumn="0" w:lastRowLastColumn="0"/>
            </w:pPr>
            <w:r>
              <w:t>The Workgroup completed Sexuality Guidelines and the Guidelines Concerning Sexual Health, Personal Relationships, and Sexuality Bulletin was issued and effective on April 13, 2018.</w:t>
            </w:r>
          </w:p>
          <w:p w14:paraId="02F573ED" w14:textId="2A542DF9" w:rsidR="001D23DF" w:rsidRPr="00047060" w:rsidRDefault="001D23DF" w:rsidP="00D034CF">
            <w:pPr>
              <w:jc w:val="both"/>
              <w:cnfStyle w:val="000000100000" w:firstRow="0" w:lastRow="0" w:firstColumn="0" w:lastColumn="0" w:oddVBand="0" w:evenVBand="0" w:oddHBand="1" w:evenHBand="0" w:firstRowFirstColumn="0" w:firstRowLastColumn="0" w:lastRowFirstColumn="0" w:lastRowLastColumn="0"/>
            </w:pPr>
            <w:r>
              <w:t>Efforts underway also to address issue of sexual trauma and other traumatic experiences.</w:t>
            </w:r>
          </w:p>
        </w:tc>
        <w:tc>
          <w:tcPr>
            <w:tcW w:w="4320" w:type="dxa"/>
          </w:tcPr>
          <w:p w14:paraId="1D6CF67C" w14:textId="058DDCE2" w:rsidR="00FD7738" w:rsidRPr="00047060" w:rsidRDefault="001D23DF" w:rsidP="00A91524">
            <w:pPr>
              <w:jc w:val="both"/>
              <w:cnfStyle w:val="000000100000" w:firstRow="0" w:lastRow="0" w:firstColumn="0" w:lastColumn="0" w:oddVBand="0" w:evenVBand="0" w:oddHBand="1" w:evenHBand="0" w:firstRowFirstColumn="0" w:firstRowLastColumn="0" w:lastRowFirstColumn="0" w:lastRowLastColumn="0"/>
            </w:pPr>
            <w:r>
              <w:t xml:space="preserve">Retain: </w:t>
            </w:r>
            <w:r w:rsidR="00477319">
              <w:t xml:space="preserve">Recommend </w:t>
            </w:r>
            <w:r w:rsidR="00537F84">
              <w:t>continuing</w:t>
            </w:r>
            <w:r w:rsidR="00477319">
              <w:t xml:space="preserve"> to place importance on this topic</w:t>
            </w:r>
            <w:r w:rsidR="00537F84">
              <w:t xml:space="preserve">.  </w:t>
            </w:r>
          </w:p>
        </w:tc>
      </w:tr>
      <w:tr w:rsidR="00C87D7C" w14:paraId="6A818B72" w14:textId="77777777" w:rsidTr="00D034CF">
        <w:trPr>
          <w:jc w:val="center"/>
        </w:trPr>
        <w:tc>
          <w:tcPr>
            <w:cnfStyle w:val="001000000000" w:firstRow="0" w:lastRow="0" w:firstColumn="1" w:lastColumn="0" w:oddVBand="0" w:evenVBand="0" w:oddHBand="0" w:evenHBand="0" w:firstRowFirstColumn="0" w:firstRowLastColumn="0" w:lastRowFirstColumn="0" w:lastRowLastColumn="0"/>
            <w:tcW w:w="4950" w:type="dxa"/>
          </w:tcPr>
          <w:p w14:paraId="3153601B" w14:textId="18D4C645" w:rsidR="00FD7738" w:rsidRPr="00F65BA0" w:rsidRDefault="00F65BA0" w:rsidP="00D034CF">
            <w:pPr>
              <w:numPr>
                <w:ilvl w:val="0"/>
                <w:numId w:val="1"/>
              </w:numPr>
              <w:rPr>
                <w:b w:val="0"/>
              </w:rPr>
            </w:pPr>
            <w:r w:rsidRPr="00F65BA0">
              <w:rPr>
                <w:b w:val="0"/>
              </w:rPr>
              <w:t>Incorporate a focus on health and wellness into the individual planning process.</w:t>
            </w:r>
          </w:p>
        </w:tc>
        <w:tc>
          <w:tcPr>
            <w:tcW w:w="4680" w:type="dxa"/>
          </w:tcPr>
          <w:p w14:paraId="517724CE" w14:textId="77777777" w:rsidR="00FD7738" w:rsidRDefault="00537F84" w:rsidP="00D034CF">
            <w:pPr>
              <w:jc w:val="both"/>
              <w:cnfStyle w:val="000000000000" w:firstRow="0" w:lastRow="0" w:firstColumn="0" w:lastColumn="0" w:oddVBand="0" w:evenVBand="0" w:oddHBand="0" w:evenHBand="0" w:firstRowFirstColumn="0" w:firstRowLastColumn="0" w:lastRowFirstColumn="0" w:lastRowLastColumn="0"/>
            </w:pPr>
            <w:r>
              <w:t>Statewide trainings on the Fatal Four began in Summer, 2018.  Trainings held for providers, A</w:t>
            </w:r>
            <w:r w:rsidR="001D23DF">
              <w:t xml:space="preserve">dministrative </w:t>
            </w:r>
            <w:r>
              <w:t>E</w:t>
            </w:r>
            <w:r w:rsidR="001D23DF">
              <w:t xml:space="preserve">ntities, and supports coordinators via face to face and webinar sessions (which have been recorded).  Health Care Quality Units have also been providing training to a broad audience.  </w:t>
            </w:r>
          </w:p>
          <w:p w14:paraId="6CFDB225" w14:textId="77777777" w:rsidR="001D23DF" w:rsidRDefault="001D23DF" w:rsidP="00D034CF">
            <w:pPr>
              <w:jc w:val="both"/>
              <w:cnfStyle w:val="000000000000" w:firstRow="0" w:lastRow="0" w:firstColumn="0" w:lastColumn="0" w:oddVBand="0" w:evenVBand="0" w:oddHBand="0" w:evenHBand="0" w:firstRowFirstColumn="0" w:firstRowLastColumn="0" w:lastRowFirstColumn="0" w:lastRowLastColumn="0"/>
            </w:pPr>
          </w:p>
          <w:p w14:paraId="669AAEDE" w14:textId="2D773FC1" w:rsidR="001D23DF" w:rsidRPr="00047060" w:rsidRDefault="001D23DF" w:rsidP="00D034CF">
            <w:pPr>
              <w:jc w:val="both"/>
              <w:cnfStyle w:val="000000000000" w:firstRow="0" w:lastRow="0" w:firstColumn="0" w:lastColumn="0" w:oddVBand="0" w:evenVBand="0" w:oddHBand="0" w:evenHBand="0" w:firstRowFirstColumn="0" w:firstRowLastColumn="0" w:lastRowFirstColumn="0" w:lastRowLastColumn="0"/>
            </w:pPr>
            <w:r>
              <w:t>ODP has continued with planning process to introduce a health risk screening tool to the Commonwealth which will promote health and wellness</w:t>
            </w:r>
            <w:r w:rsidR="007549FC">
              <w:t xml:space="preserve"> by identifying </w:t>
            </w:r>
            <w:r w:rsidR="00224652">
              <w:t>areas of</w:t>
            </w:r>
            <w:r w:rsidR="007549FC">
              <w:t xml:space="preserve"> risk as well as bringing a greater awareness to changes in health status an individual might experience.  </w:t>
            </w:r>
          </w:p>
        </w:tc>
        <w:tc>
          <w:tcPr>
            <w:tcW w:w="4320" w:type="dxa"/>
          </w:tcPr>
          <w:p w14:paraId="57336A4A" w14:textId="0B3EDD69" w:rsidR="00FD7738" w:rsidRPr="00047060" w:rsidRDefault="00DC0B59" w:rsidP="00D034CF">
            <w:pPr>
              <w:jc w:val="both"/>
              <w:cnfStyle w:val="000000000000" w:firstRow="0" w:lastRow="0" w:firstColumn="0" w:lastColumn="0" w:oddVBand="0" w:evenVBand="0" w:oddHBand="0" w:evenHBand="0" w:firstRowFirstColumn="0" w:firstRowLastColumn="0" w:lastRowFirstColumn="0" w:lastRowLastColumn="0"/>
            </w:pPr>
            <w:r>
              <w:t xml:space="preserve">Retain Strategy.  As the Health Risk Screening Tool project transitions from a planning process to implementation, would recommend that it be listed as a separate strategy, though it will continue to inform the individual planning process.  Data from HRST will also serve as performance measures </w:t>
            </w:r>
            <w:r w:rsidR="002569B5">
              <w:t>for Recommendation</w:t>
            </w:r>
            <w:r>
              <w:t xml:space="preserve"> #5 (2020).</w:t>
            </w:r>
          </w:p>
        </w:tc>
      </w:tr>
      <w:tr w:rsidR="00F65BA0" w14:paraId="03ED3178" w14:textId="77777777" w:rsidTr="00D034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14:paraId="2BF49E18" w14:textId="3585DF41" w:rsidR="00F65BA0" w:rsidRPr="00F65BA0" w:rsidRDefault="00F65BA0" w:rsidP="00D034CF">
            <w:pPr>
              <w:numPr>
                <w:ilvl w:val="0"/>
                <w:numId w:val="1"/>
              </w:numPr>
              <w:contextualSpacing/>
              <w:rPr>
                <w:b w:val="0"/>
              </w:rPr>
            </w:pPr>
            <w:r w:rsidRPr="00F65BA0">
              <w:rPr>
                <w:b w:val="0"/>
              </w:rPr>
              <w:t>Health Care Quality Units will develop outreach to promote wellness to individuals and self-advocates living with families, including people on the waiting list.</w:t>
            </w:r>
          </w:p>
        </w:tc>
        <w:tc>
          <w:tcPr>
            <w:tcW w:w="4680" w:type="dxa"/>
          </w:tcPr>
          <w:p w14:paraId="3BD659EE" w14:textId="77777777" w:rsidR="00F65BA0" w:rsidRDefault="00043C93" w:rsidP="00D034CF">
            <w:pPr>
              <w:jc w:val="both"/>
              <w:cnfStyle w:val="000000100000" w:firstRow="0" w:lastRow="0" w:firstColumn="0" w:lastColumn="0" w:oddVBand="0" w:evenVBand="0" w:oddHBand="1" w:evenHBand="0" w:firstRowFirstColumn="0" w:firstRowLastColumn="0" w:lastRowFirstColumn="0" w:lastRowLastColumn="0"/>
            </w:pPr>
            <w:r>
              <w:t>HCQUs have continued to develop outreach</w:t>
            </w:r>
            <w:r w:rsidR="005828E2">
              <w:t xml:space="preserve">.  Additionally, ASERT has extensive resources available, primarily through online access.  </w:t>
            </w:r>
          </w:p>
          <w:p w14:paraId="219734E7" w14:textId="77777777" w:rsidR="005828E2" w:rsidRDefault="005828E2" w:rsidP="00D034CF">
            <w:pPr>
              <w:jc w:val="both"/>
              <w:cnfStyle w:val="000000100000" w:firstRow="0" w:lastRow="0" w:firstColumn="0" w:lastColumn="0" w:oddVBand="0" w:evenVBand="0" w:oddHBand="1" w:evenHBand="0" w:firstRowFirstColumn="0" w:firstRowLastColumn="0" w:lastRowFirstColumn="0" w:lastRowLastColumn="0"/>
            </w:pPr>
          </w:p>
          <w:p w14:paraId="72FC7BFC" w14:textId="6BED6949" w:rsidR="005828E2" w:rsidRDefault="005828E2" w:rsidP="00D034CF">
            <w:pPr>
              <w:jc w:val="both"/>
              <w:cnfStyle w:val="000000100000" w:firstRow="0" w:lastRow="0" w:firstColumn="0" w:lastColumn="0" w:oddVBand="0" w:evenVBand="0" w:oddHBand="1" w:evenHBand="0" w:firstRowFirstColumn="0" w:firstRowLastColumn="0" w:lastRowFirstColumn="0" w:lastRowLastColumn="0"/>
            </w:pPr>
            <w:r>
              <w:t xml:space="preserve">A sampling of sessions includes: </w:t>
            </w:r>
          </w:p>
          <w:p w14:paraId="5B2D6EDA" w14:textId="1F954833" w:rsidR="005828E2" w:rsidRDefault="005828E2" w:rsidP="00D034CF">
            <w:pPr>
              <w:pStyle w:val="Default"/>
              <w:cnfStyle w:val="000000100000" w:firstRow="0" w:lastRow="0" w:firstColumn="0" w:lastColumn="0" w:oddVBand="0" w:evenVBand="0" w:oddHBand="1" w:evenHBand="0" w:firstRowFirstColumn="0" w:firstRowLastColumn="0" w:lastRowFirstColumn="0" w:lastRowLastColumn="0"/>
              <w:rPr>
                <w:sz w:val="22"/>
                <w:szCs w:val="22"/>
              </w:rPr>
            </w:pPr>
            <w:r>
              <w:rPr>
                <w:rFonts w:ascii="Arial" w:hAnsi="Arial" w:cs="Arial"/>
                <w:sz w:val="22"/>
                <w:szCs w:val="22"/>
              </w:rPr>
              <w:t xml:space="preserve">• </w:t>
            </w:r>
            <w:r>
              <w:rPr>
                <w:sz w:val="22"/>
                <w:szCs w:val="22"/>
              </w:rPr>
              <w:t xml:space="preserve">Virtual Dementia </w:t>
            </w:r>
            <w:r>
              <w:rPr>
                <w:b/>
                <w:bCs/>
                <w:sz w:val="22"/>
                <w:szCs w:val="22"/>
              </w:rPr>
              <w:t xml:space="preserve">– </w:t>
            </w:r>
            <w:r>
              <w:rPr>
                <w:sz w:val="22"/>
                <w:szCs w:val="22"/>
              </w:rPr>
              <w:t xml:space="preserve">Western HCQU. </w:t>
            </w:r>
          </w:p>
          <w:p w14:paraId="79028838" w14:textId="77777777" w:rsidR="005828E2" w:rsidRDefault="005828E2" w:rsidP="00D034CF">
            <w:pPr>
              <w:pStyle w:val="Default"/>
              <w:cnfStyle w:val="000000100000" w:firstRow="0" w:lastRow="0" w:firstColumn="0" w:lastColumn="0" w:oddVBand="0" w:evenVBand="0" w:oddHBand="1" w:evenHBand="0" w:firstRowFirstColumn="0" w:firstRowLastColumn="0" w:lastRowFirstColumn="0" w:lastRowLastColumn="0"/>
              <w:rPr>
                <w:sz w:val="22"/>
                <w:szCs w:val="22"/>
              </w:rPr>
            </w:pPr>
            <w:r>
              <w:rPr>
                <w:rFonts w:ascii="Arial" w:hAnsi="Arial" w:cs="Arial"/>
                <w:sz w:val="22"/>
                <w:szCs w:val="22"/>
              </w:rPr>
              <w:t xml:space="preserve">• </w:t>
            </w:r>
            <w:r>
              <w:rPr>
                <w:sz w:val="22"/>
                <w:szCs w:val="22"/>
              </w:rPr>
              <w:t xml:space="preserve">Dysphagia and Food Preparation </w:t>
            </w:r>
            <w:r>
              <w:rPr>
                <w:b/>
                <w:bCs/>
                <w:sz w:val="22"/>
                <w:szCs w:val="22"/>
              </w:rPr>
              <w:t xml:space="preserve">– </w:t>
            </w:r>
            <w:r>
              <w:rPr>
                <w:sz w:val="22"/>
                <w:szCs w:val="22"/>
              </w:rPr>
              <w:t xml:space="preserve">Eastern HCQU. </w:t>
            </w:r>
          </w:p>
          <w:p w14:paraId="1594E3C5" w14:textId="3979CCD2" w:rsidR="002B531B" w:rsidRPr="002B531B" w:rsidRDefault="005828E2" w:rsidP="00D034CF">
            <w:pPr>
              <w:pStyle w:val="Defaul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2"/>
                <w:szCs w:val="22"/>
              </w:rPr>
              <w:t xml:space="preserve">• </w:t>
            </w:r>
            <w:r>
              <w:rPr>
                <w:sz w:val="22"/>
                <w:szCs w:val="22"/>
              </w:rPr>
              <w:t xml:space="preserve">Intellectual Disabilities and Dementia </w:t>
            </w:r>
            <w:r>
              <w:rPr>
                <w:b/>
                <w:bCs/>
                <w:sz w:val="22"/>
                <w:szCs w:val="22"/>
              </w:rPr>
              <w:t xml:space="preserve">– </w:t>
            </w:r>
            <w:r>
              <w:rPr>
                <w:sz w:val="22"/>
                <w:szCs w:val="22"/>
              </w:rPr>
              <w:t xml:space="preserve">Eastern HCQU. </w:t>
            </w:r>
          </w:p>
          <w:p w14:paraId="0BF2CC72" w14:textId="77777777" w:rsidR="002B531B" w:rsidRPr="002B531B" w:rsidRDefault="002B531B" w:rsidP="00D034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B531B">
              <w:rPr>
                <w:rFonts w:ascii="Arial" w:hAnsi="Arial" w:cs="Arial"/>
                <w:color w:val="000000"/>
              </w:rPr>
              <w:t xml:space="preserve">• </w:t>
            </w:r>
            <w:r w:rsidRPr="002B531B">
              <w:rPr>
                <w:rFonts w:ascii="Calibri" w:hAnsi="Calibri" w:cs="Calibri"/>
                <w:color w:val="000000"/>
              </w:rPr>
              <w:t xml:space="preserve">Autism Spectrum Disorder and the Healthcare Experiences for Aging Adults </w:t>
            </w:r>
            <w:r w:rsidRPr="002B531B">
              <w:rPr>
                <w:rFonts w:ascii="Calibri" w:hAnsi="Calibri" w:cs="Calibri"/>
                <w:b/>
                <w:bCs/>
                <w:color w:val="000000"/>
              </w:rPr>
              <w:t xml:space="preserve">– </w:t>
            </w:r>
            <w:r w:rsidRPr="002B531B">
              <w:rPr>
                <w:rFonts w:ascii="Calibri" w:hAnsi="Calibri" w:cs="Calibri"/>
                <w:color w:val="000000"/>
              </w:rPr>
              <w:t xml:space="preserve">Eastern HCQU. </w:t>
            </w:r>
          </w:p>
          <w:p w14:paraId="7C99D6A6" w14:textId="77777777" w:rsidR="002B531B" w:rsidRPr="002B531B" w:rsidRDefault="002B531B" w:rsidP="00D034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B531B">
              <w:rPr>
                <w:rFonts w:ascii="Arial" w:hAnsi="Arial" w:cs="Arial"/>
                <w:color w:val="000000"/>
              </w:rPr>
              <w:t xml:space="preserve">• </w:t>
            </w:r>
            <w:r w:rsidRPr="002B531B">
              <w:rPr>
                <w:rFonts w:ascii="Calibri" w:hAnsi="Calibri" w:cs="Calibri"/>
                <w:color w:val="000000"/>
              </w:rPr>
              <w:t xml:space="preserve">Risk Factor and Remediation for Falls for People with intellectual and Developmental Disabilities </w:t>
            </w:r>
            <w:r w:rsidRPr="002B531B">
              <w:rPr>
                <w:rFonts w:ascii="Calibri" w:hAnsi="Calibri" w:cs="Calibri"/>
                <w:b/>
                <w:bCs/>
                <w:color w:val="000000"/>
              </w:rPr>
              <w:t xml:space="preserve">– </w:t>
            </w:r>
            <w:r w:rsidRPr="002B531B">
              <w:rPr>
                <w:rFonts w:ascii="Calibri" w:hAnsi="Calibri" w:cs="Calibri"/>
                <w:color w:val="000000"/>
              </w:rPr>
              <w:t xml:space="preserve">Central HCQU. </w:t>
            </w:r>
          </w:p>
          <w:p w14:paraId="34CCA913" w14:textId="77777777" w:rsidR="002B531B" w:rsidRPr="002B531B" w:rsidRDefault="002B531B" w:rsidP="00D034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B531B">
              <w:rPr>
                <w:rFonts w:ascii="Arial" w:hAnsi="Arial" w:cs="Arial"/>
                <w:color w:val="000000"/>
              </w:rPr>
              <w:t xml:space="preserve">• </w:t>
            </w:r>
            <w:r w:rsidRPr="002B531B">
              <w:rPr>
                <w:rFonts w:ascii="Calibri" w:hAnsi="Calibri" w:cs="Calibri"/>
                <w:color w:val="000000"/>
              </w:rPr>
              <w:t xml:space="preserve">An Overview on Pennsylvania Medical Marijuana Program </w:t>
            </w:r>
            <w:r w:rsidRPr="002B531B">
              <w:rPr>
                <w:rFonts w:ascii="Calibri" w:hAnsi="Calibri" w:cs="Calibri"/>
                <w:b/>
                <w:bCs/>
                <w:color w:val="000000"/>
              </w:rPr>
              <w:t xml:space="preserve">– </w:t>
            </w:r>
            <w:r w:rsidRPr="002B531B">
              <w:rPr>
                <w:rFonts w:ascii="Calibri" w:hAnsi="Calibri" w:cs="Calibri"/>
                <w:color w:val="000000"/>
              </w:rPr>
              <w:t xml:space="preserve">Central HCQU. </w:t>
            </w:r>
          </w:p>
          <w:p w14:paraId="2A7F00AA" w14:textId="77777777" w:rsidR="002B531B" w:rsidRPr="002B531B" w:rsidRDefault="002B531B" w:rsidP="00D034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B531B">
              <w:rPr>
                <w:rFonts w:ascii="Arial" w:hAnsi="Arial" w:cs="Arial"/>
                <w:color w:val="000000"/>
              </w:rPr>
              <w:t xml:space="preserve">• </w:t>
            </w:r>
            <w:r w:rsidRPr="002B531B">
              <w:rPr>
                <w:rFonts w:ascii="Calibri" w:hAnsi="Calibri" w:cs="Calibri"/>
                <w:color w:val="000000"/>
              </w:rPr>
              <w:t xml:space="preserve">Gut Health-Management and Prevention of GI Conditions </w:t>
            </w:r>
            <w:r w:rsidRPr="002B531B">
              <w:rPr>
                <w:rFonts w:ascii="Calibri" w:hAnsi="Calibri" w:cs="Calibri"/>
                <w:b/>
                <w:bCs/>
                <w:color w:val="000000"/>
              </w:rPr>
              <w:t xml:space="preserve">– </w:t>
            </w:r>
            <w:r w:rsidRPr="002B531B">
              <w:rPr>
                <w:rFonts w:ascii="Calibri" w:hAnsi="Calibri" w:cs="Calibri"/>
                <w:color w:val="000000"/>
              </w:rPr>
              <w:t xml:space="preserve">Central HCQU. </w:t>
            </w:r>
          </w:p>
          <w:p w14:paraId="5804C51D" w14:textId="1A04CEA1" w:rsidR="002B531B" w:rsidRPr="00335A7B" w:rsidRDefault="002B531B" w:rsidP="00D034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B531B">
              <w:rPr>
                <w:rFonts w:ascii="Arial" w:hAnsi="Arial" w:cs="Arial"/>
                <w:color w:val="000000"/>
              </w:rPr>
              <w:t xml:space="preserve">• </w:t>
            </w:r>
            <w:r w:rsidRPr="002B531B">
              <w:rPr>
                <w:rFonts w:ascii="Calibri" w:hAnsi="Calibri" w:cs="Calibri"/>
                <w:color w:val="000000"/>
              </w:rPr>
              <w:t xml:space="preserve">Behavioral Health Assessment and Medication for Individuals with Intellectual and Developmental Disabilities </w:t>
            </w:r>
            <w:r w:rsidRPr="002B531B">
              <w:rPr>
                <w:rFonts w:ascii="Calibri" w:hAnsi="Calibri" w:cs="Calibri"/>
                <w:b/>
                <w:bCs/>
                <w:color w:val="000000"/>
              </w:rPr>
              <w:t xml:space="preserve">– </w:t>
            </w:r>
            <w:r w:rsidRPr="002B531B">
              <w:rPr>
                <w:rFonts w:ascii="Calibri" w:hAnsi="Calibri" w:cs="Calibri"/>
                <w:color w:val="000000"/>
              </w:rPr>
              <w:t xml:space="preserve">Central HCQU. </w:t>
            </w:r>
            <w:bookmarkStart w:id="0" w:name="_GoBack"/>
            <w:bookmarkEnd w:id="0"/>
          </w:p>
          <w:p w14:paraId="6261D7A8" w14:textId="14A46EC9" w:rsidR="005828E2" w:rsidRPr="00D034CF" w:rsidRDefault="002B531B" w:rsidP="00D034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 xml:space="preserve">Positive Choices Training – 10 week Pilot Project for 9 individuals with a history of relationship issues.  </w:t>
            </w:r>
          </w:p>
        </w:tc>
        <w:tc>
          <w:tcPr>
            <w:tcW w:w="4320" w:type="dxa"/>
          </w:tcPr>
          <w:p w14:paraId="5E9B392C" w14:textId="17EF0900" w:rsidR="00F65BA0" w:rsidRPr="00047060" w:rsidRDefault="002B531B" w:rsidP="00D034CF">
            <w:pPr>
              <w:jc w:val="both"/>
              <w:cnfStyle w:val="000000100000" w:firstRow="0" w:lastRow="0" w:firstColumn="0" w:lastColumn="0" w:oddVBand="0" w:evenVBand="0" w:oddHBand="1" w:evenHBand="0" w:firstRowFirstColumn="0" w:firstRowLastColumn="0" w:lastRowFirstColumn="0" w:lastRowLastColumn="0"/>
            </w:pPr>
            <w:r>
              <w:t xml:space="preserve">Recommend retaining strategy.  </w:t>
            </w:r>
            <w:r w:rsidR="00C85E73">
              <w:t xml:space="preserve">Increased collaboration and interaction with HCQU and ASERT has occurred over the past year and will continue to develop further.  </w:t>
            </w:r>
          </w:p>
        </w:tc>
      </w:tr>
    </w:tbl>
    <w:p w14:paraId="79F61789" w14:textId="77777777" w:rsidR="00155C56" w:rsidRDefault="00155C56"/>
    <w:tbl>
      <w:tblPr>
        <w:tblStyle w:val="GridTable2-Accent1"/>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0"/>
      </w:tblGrid>
      <w:tr w:rsidR="001F2D80" w14:paraId="0D09442D" w14:textId="77777777" w:rsidTr="003F2DE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0" w:type="dxa"/>
            <w:tcBorders>
              <w:top w:val="none" w:sz="0" w:space="0" w:color="auto"/>
              <w:bottom w:val="none" w:sz="0" w:space="0" w:color="auto"/>
            </w:tcBorders>
          </w:tcPr>
          <w:p w14:paraId="1A626231" w14:textId="77777777" w:rsidR="001F2D80" w:rsidRPr="001F2D80" w:rsidRDefault="001F2D80" w:rsidP="001F2D80">
            <w:pPr>
              <w:jc w:val="center"/>
              <w:rPr>
                <w:rFonts w:asciiTheme="majorHAnsi" w:hAnsiTheme="majorHAnsi" w:cstheme="majorHAnsi"/>
                <w:b w:val="0"/>
                <w:bCs w:val="0"/>
              </w:rPr>
            </w:pPr>
            <w:r w:rsidRPr="001F2D80">
              <w:rPr>
                <w:rFonts w:asciiTheme="majorHAnsi" w:hAnsiTheme="majorHAnsi" w:cstheme="majorHAnsi"/>
              </w:rPr>
              <w:t>New Strategies and/or Strategies that have been implemented but were not included in the original 2016 list</w:t>
            </w:r>
          </w:p>
          <w:p w14:paraId="24F60422" w14:textId="6356F784" w:rsidR="001F2D80" w:rsidRPr="00047060" w:rsidRDefault="001F2D80" w:rsidP="001F2D80">
            <w:pPr>
              <w:jc w:val="center"/>
            </w:pPr>
          </w:p>
        </w:tc>
      </w:tr>
      <w:tr w:rsidR="00C87D7C" w14:paraId="7AE49E6D" w14:textId="77777777" w:rsidTr="003F2D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50" w:type="dxa"/>
          </w:tcPr>
          <w:p w14:paraId="38502A5F" w14:textId="73535E50" w:rsidR="00C87D7C" w:rsidRPr="001D23DF" w:rsidRDefault="001D23DF" w:rsidP="00D034CF">
            <w:pPr>
              <w:pStyle w:val="ListParagraph"/>
              <w:numPr>
                <w:ilvl w:val="0"/>
                <w:numId w:val="12"/>
              </w:numPr>
              <w:rPr>
                <w:rFonts w:asciiTheme="majorHAnsi" w:hAnsiTheme="majorHAnsi" w:cstheme="majorHAnsi"/>
                <w:b w:val="0"/>
              </w:rPr>
            </w:pPr>
            <w:r w:rsidRPr="002B531B">
              <w:rPr>
                <w:rFonts w:asciiTheme="majorHAnsi" w:hAnsiTheme="majorHAnsi" w:cstheme="majorHAnsi"/>
                <w:u w:val="single"/>
              </w:rPr>
              <w:t>Skin Integrity Pilot Project</w:t>
            </w:r>
            <w:r w:rsidR="00DC0B59">
              <w:rPr>
                <w:rFonts w:asciiTheme="majorHAnsi" w:hAnsiTheme="majorHAnsi" w:cstheme="majorHAnsi"/>
                <w:b w:val="0"/>
              </w:rPr>
              <w:t xml:space="preserve"> – </w:t>
            </w:r>
            <w:r w:rsidR="00AF436F">
              <w:rPr>
                <w:rFonts w:asciiTheme="majorHAnsi" w:hAnsiTheme="majorHAnsi" w:cstheme="majorHAnsi"/>
                <w:b w:val="0"/>
              </w:rPr>
              <w:t xml:space="preserve">Implemented strategy not included in this original list.  </w:t>
            </w:r>
            <w:r w:rsidR="00DC0B59">
              <w:rPr>
                <w:rFonts w:asciiTheme="majorHAnsi" w:hAnsiTheme="majorHAnsi" w:cstheme="majorHAnsi"/>
                <w:b w:val="0"/>
              </w:rPr>
              <w:t xml:space="preserve">ODP has begun using claims data to identify individuals with pressure wounds and conduct targeted outreach.  </w:t>
            </w:r>
            <w:r w:rsidR="00F73686">
              <w:rPr>
                <w:rFonts w:asciiTheme="majorHAnsi" w:hAnsiTheme="majorHAnsi" w:cstheme="majorHAnsi"/>
                <w:b w:val="0"/>
              </w:rPr>
              <w:t xml:space="preserve">Recognizing the high risk of health complications associated with </w:t>
            </w:r>
            <w:r w:rsidR="00043C93">
              <w:rPr>
                <w:rFonts w:asciiTheme="majorHAnsi" w:hAnsiTheme="majorHAnsi" w:cstheme="majorHAnsi"/>
                <w:b w:val="0"/>
              </w:rPr>
              <w:t xml:space="preserve">skin breakdown, a Skin Integrity booklet developed by Milestone HCQU West has been made available.  </w:t>
            </w:r>
          </w:p>
          <w:p w14:paraId="4F5B414A" w14:textId="767655F3" w:rsidR="00DD3DAC" w:rsidRPr="00DD3DAC" w:rsidRDefault="00DD3DAC" w:rsidP="00D034CF">
            <w:pPr>
              <w:rPr>
                <w:rFonts w:asciiTheme="majorHAnsi" w:hAnsiTheme="majorHAnsi" w:cstheme="majorHAnsi"/>
              </w:rPr>
            </w:pPr>
          </w:p>
        </w:tc>
      </w:tr>
      <w:tr w:rsidR="00C87D7C" w14:paraId="475A9A1F" w14:textId="77777777" w:rsidTr="003F2DE7">
        <w:trPr>
          <w:jc w:val="center"/>
        </w:trPr>
        <w:tc>
          <w:tcPr>
            <w:cnfStyle w:val="001000000000" w:firstRow="0" w:lastRow="0" w:firstColumn="1" w:lastColumn="0" w:oddVBand="0" w:evenVBand="0" w:oddHBand="0" w:evenHBand="0" w:firstRowFirstColumn="0" w:firstRowLastColumn="0" w:lastRowFirstColumn="0" w:lastRowLastColumn="0"/>
            <w:tcW w:w="13950" w:type="dxa"/>
          </w:tcPr>
          <w:p w14:paraId="3C2CFE9D" w14:textId="77777777" w:rsidR="00C87D7C" w:rsidRDefault="00C87D7C" w:rsidP="00D034CF">
            <w:pPr>
              <w:rPr>
                <w:rFonts w:asciiTheme="majorHAnsi" w:hAnsiTheme="majorHAnsi" w:cstheme="majorHAnsi"/>
                <w:bCs w:val="0"/>
              </w:rPr>
            </w:pPr>
          </w:p>
          <w:p w14:paraId="787D1F08" w14:textId="206AEA2A" w:rsidR="0004761E" w:rsidRPr="0004761E" w:rsidRDefault="0004761E" w:rsidP="00D034CF">
            <w:pPr>
              <w:pStyle w:val="ListParagraph"/>
              <w:numPr>
                <w:ilvl w:val="0"/>
                <w:numId w:val="12"/>
              </w:numPr>
            </w:pPr>
            <w:r>
              <w:rPr>
                <w:rFonts w:asciiTheme="majorHAnsi" w:hAnsiTheme="majorHAnsi" w:cstheme="majorHAnsi"/>
                <w:u w:val="single"/>
              </w:rPr>
              <w:t xml:space="preserve">Promote Improved </w:t>
            </w:r>
            <w:r w:rsidRPr="0004761E">
              <w:rPr>
                <w:rFonts w:asciiTheme="majorHAnsi" w:hAnsiTheme="majorHAnsi" w:cstheme="majorHAnsi"/>
                <w:u w:val="single"/>
              </w:rPr>
              <w:t>Health Literacy</w:t>
            </w:r>
            <w:r w:rsidRPr="0004761E">
              <w:rPr>
                <w:rFonts w:asciiTheme="majorHAnsi" w:hAnsiTheme="majorHAnsi" w:cstheme="majorHAnsi"/>
              </w:rPr>
              <w:t xml:space="preserve"> - </w:t>
            </w:r>
            <w:r w:rsidRPr="0004761E">
              <w:rPr>
                <w:b w:val="0"/>
              </w:rPr>
              <w:t xml:space="preserve">Health literacy is the degree to which individuals have the capacity to obtain, process, and understand basic health information and services needed to make appropriate health decisions.  Health literacy affects people's ability to: navigate the healthcare system; share personal information, such as health history, with providers; engage in self-care and chronic-disease management; make informed choices with an understanding of risks.  </w:t>
            </w:r>
          </w:p>
          <w:p w14:paraId="60C02BBB" w14:textId="2316F712" w:rsidR="00DD3DAC" w:rsidRPr="00F17352" w:rsidRDefault="00DD3DAC" w:rsidP="00D034CF">
            <w:pPr>
              <w:pStyle w:val="ListParagraph"/>
              <w:rPr>
                <w:rFonts w:asciiTheme="majorHAnsi" w:hAnsiTheme="majorHAnsi" w:cstheme="majorHAnsi"/>
              </w:rPr>
            </w:pPr>
          </w:p>
        </w:tc>
      </w:tr>
    </w:tbl>
    <w:p w14:paraId="78F89500" w14:textId="77777777" w:rsidR="00FA3958" w:rsidRDefault="00FA3958" w:rsidP="001F2D80">
      <w:pPr>
        <w:jc w:val="center"/>
      </w:pPr>
    </w:p>
    <w:sectPr w:rsidR="00FA3958" w:rsidSect="00273B06">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90752" w14:textId="77777777" w:rsidR="007759B4" w:rsidRDefault="007759B4" w:rsidP="00C87DDB">
      <w:pPr>
        <w:spacing w:after="0" w:line="240" w:lineRule="auto"/>
      </w:pPr>
      <w:r>
        <w:separator/>
      </w:r>
    </w:p>
  </w:endnote>
  <w:endnote w:type="continuationSeparator" w:id="0">
    <w:p w14:paraId="4CEE8DB8" w14:textId="77777777" w:rsidR="007759B4" w:rsidRDefault="007759B4" w:rsidP="00C8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AAF1B" w14:textId="51C11FCE" w:rsidR="005828E2" w:rsidRDefault="005828E2" w:rsidP="00C87DDB">
    <w:pPr>
      <w:pStyle w:val="Footer"/>
      <w:tabs>
        <w:tab w:val="clear" w:pos="4680"/>
        <w:tab w:val="clear" w:pos="9360"/>
      </w:tabs>
      <w:rPr>
        <w:caps/>
        <w:noProof/>
        <w:color w:val="4472C4" w:themeColor="accent1"/>
      </w:rPr>
    </w:pPr>
    <w:r w:rsidRPr="00D034CF">
      <w:rPr>
        <w:caps/>
        <w:color w:val="4472C4" w:themeColor="accent1"/>
        <w:sz w:val="20"/>
        <w:szCs w:val="20"/>
      </w:rPr>
      <w:t>0</w:t>
    </w:r>
    <w:r w:rsidR="00D034CF" w:rsidRPr="00D034CF">
      <w:rPr>
        <w:caps/>
        <w:color w:val="4472C4" w:themeColor="accent1"/>
        <w:sz w:val="20"/>
        <w:szCs w:val="20"/>
      </w:rPr>
      <w:t>2</w:t>
    </w:r>
    <w:r w:rsidRPr="00D034CF">
      <w:rPr>
        <w:caps/>
        <w:color w:val="4472C4" w:themeColor="accent1"/>
        <w:sz w:val="20"/>
        <w:szCs w:val="20"/>
      </w:rPr>
      <w:t xml:space="preserve"> </w:t>
    </w:r>
    <w:r w:rsidR="00D034CF" w:rsidRPr="00D034CF">
      <w:rPr>
        <w:caps/>
        <w:color w:val="4472C4" w:themeColor="accent1"/>
        <w:sz w:val="20"/>
        <w:szCs w:val="20"/>
      </w:rPr>
      <w:t>11</w:t>
    </w:r>
    <w:r w:rsidRPr="00D034CF">
      <w:rPr>
        <w:caps/>
        <w:color w:val="4472C4" w:themeColor="accent1"/>
        <w:sz w:val="20"/>
        <w:szCs w:val="20"/>
      </w:rPr>
      <w:t xml:space="preserve"> 19                                                                                                                                                                                                                           </w:t>
    </w:r>
    <w:r w:rsidRPr="00D034CF">
      <w:rPr>
        <w:caps/>
        <w:color w:val="4472C4" w:themeColor="accent1"/>
        <w:sz w:val="20"/>
        <w:szCs w:val="20"/>
      </w:rPr>
      <w:fldChar w:fldCharType="begin"/>
    </w:r>
    <w:r w:rsidRPr="00D034CF">
      <w:rPr>
        <w:caps/>
        <w:color w:val="4472C4" w:themeColor="accent1"/>
        <w:sz w:val="20"/>
        <w:szCs w:val="20"/>
      </w:rPr>
      <w:instrText xml:space="preserve"> PAGE   \* MERGEFORMAT </w:instrText>
    </w:r>
    <w:r w:rsidRPr="00D034CF">
      <w:rPr>
        <w:caps/>
        <w:color w:val="4472C4" w:themeColor="accent1"/>
        <w:sz w:val="20"/>
        <w:szCs w:val="20"/>
      </w:rPr>
      <w:fldChar w:fldCharType="separate"/>
    </w:r>
    <w:r w:rsidR="000B6397">
      <w:rPr>
        <w:caps/>
        <w:noProof/>
        <w:color w:val="4472C4" w:themeColor="accent1"/>
        <w:sz w:val="20"/>
        <w:szCs w:val="20"/>
      </w:rPr>
      <w:t>4</w:t>
    </w:r>
    <w:r w:rsidRPr="00D034CF">
      <w:rPr>
        <w:caps/>
        <w:noProof/>
        <w:color w:val="4472C4" w:themeColor="accent1"/>
        <w:sz w:val="20"/>
        <w:szCs w:val="20"/>
      </w:rPr>
      <w:fldChar w:fldCharType="end"/>
    </w:r>
  </w:p>
  <w:p w14:paraId="379899F6" w14:textId="4D4E871C" w:rsidR="005828E2" w:rsidRDefault="005828E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690F4" w14:textId="77777777" w:rsidR="007759B4" w:rsidRDefault="007759B4" w:rsidP="00C87DDB">
      <w:pPr>
        <w:spacing w:after="0" w:line="240" w:lineRule="auto"/>
      </w:pPr>
      <w:r>
        <w:separator/>
      </w:r>
    </w:p>
  </w:footnote>
  <w:footnote w:type="continuationSeparator" w:id="0">
    <w:p w14:paraId="5280DB9C" w14:textId="77777777" w:rsidR="007759B4" w:rsidRDefault="007759B4" w:rsidP="00C87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4AC3"/>
    <w:multiLevelType w:val="hybridMultilevel"/>
    <w:tmpl w:val="E8989D2A"/>
    <w:lvl w:ilvl="0" w:tplc="0908BD90">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81CB5"/>
    <w:multiLevelType w:val="multilevel"/>
    <w:tmpl w:val="18D4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40633"/>
    <w:multiLevelType w:val="hybridMultilevel"/>
    <w:tmpl w:val="FFA62998"/>
    <w:lvl w:ilvl="0" w:tplc="0908BD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42F26"/>
    <w:multiLevelType w:val="hybridMultilevel"/>
    <w:tmpl w:val="18748F14"/>
    <w:lvl w:ilvl="0" w:tplc="6346E720">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A740B8"/>
    <w:multiLevelType w:val="hybridMultilevel"/>
    <w:tmpl w:val="5AD4D03C"/>
    <w:lvl w:ilvl="0" w:tplc="0409000F">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3D2"/>
    <w:multiLevelType w:val="hybridMultilevel"/>
    <w:tmpl w:val="7CBE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B11B2"/>
    <w:multiLevelType w:val="hybridMultilevel"/>
    <w:tmpl w:val="96AA6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97990"/>
    <w:multiLevelType w:val="hybridMultilevel"/>
    <w:tmpl w:val="35AEB188"/>
    <w:lvl w:ilvl="0" w:tplc="0908BD9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FE1552"/>
    <w:multiLevelType w:val="hybridMultilevel"/>
    <w:tmpl w:val="25AC9D5A"/>
    <w:lvl w:ilvl="0" w:tplc="E14495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A620F4"/>
    <w:multiLevelType w:val="hybridMultilevel"/>
    <w:tmpl w:val="8B82A13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0711E71"/>
    <w:multiLevelType w:val="hybridMultilevel"/>
    <w:tmpl w:val="F33CE4EA"/>
    <w:lvl w:ilvl="0" w:tplc="0908BD90">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0410B7"/>
    <w:multiLevelType w:val="hybridMultilevel"/>
    <w:tmpl w:val="65A8604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271289"/>
    <w:multiLevelType w:val="hybridMultilevel"/>
    <w:tmpl w:val="81F06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0"/>
  </w:num>
  <w:num w:numId="4">
    <w:abstractNumId w:val="10"/>
  </w:num>
  <w:num w:numId="5">
    <w:abstractNumId w:val="6"/>
  </w:num>
  <w:num w:numId="6">
    <w:abstractNumId w:val="2"/>
  </w:num>
  <w:num w:numId="7">
    <w:abstractNumId w:val="9"/>
  </w:num>
  <w:num w:numId="8">
    <w:abstractNumId w:val="12"/>
  </w:num>
  <w:num w:numId="9">
    <w:abstractNumId w:val="8"/>
  </w:num>
  <w:num w:numId="10">
    <w:abstractNumId w:val="3"/>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38"/>
    <w:rsid w:val="000064BD"/>
    <w:rsid w:val="000173FF"/>
    <w:rsid w:val="00043C93"/>
    <w:rsid w:val="00047060"/>
    <w:rsid w:val="0004761E"/>
    <w:rsid w:val="000B6397"/>
    <w:rsid w:val="0010435C"/>
    <w:rsid w:val="00155C56"/>
    <w:rsid w:val="001735A5"/>
    <w:rsid w:val="001D23DF"/>
    <w:rsid w:val="001F2D80"/>
    <w:rsid w:val="00224652"/>
    <w:rsid w:val="002569B5"/>
    <w:rsid w:val="00273B06"/>
    <w:rsid w:val="002B531B"/>
    <w:rsid w:val="003131A1"/>
    <w:rsid w:val="0031467C"/>
    <w:rsid w:val="003242E6"/>
    <w:rsid w:val="00335A7B"/>
    <w:rsid w:val="00364CE9"/>
    <w:rsid w:val="003F2DE7"/>
    <w:rsid w:val="00477319"/>
    <w:rsid w:val="00491F73"/>
    <w:rsid w:val="004A25FA"/>
    <w:rsid w:val="00537F84"/>
    <w:rsid w:val="005828E2"/>
    <w:rsid w:val="00663F8E"/>
    <w:rsid w:val="00664D8B"/>
    <w:rsid w:val="007549FC"/>
    <w:rsid w:val="007759B4"/>
    <w:rsid w:val="00794FE3"/>
    <w:rsid w:val="008B6A40"/>
    <w:rsid w:val="008F1901"/>
    <w:rsid w:val="009E6292"/>
    <w:rsid w:val="00A01927"/>
    <w:rsid w:val="00A84065"/>
    <w:rsid w:val="00A91524"/>
    <w:rsid w:val="00AD2801"/>
    <w:rsid w:val="00AF436F"/>
    <w:rsid w:val="00BB0FC5"/>
    <w:rsid w:val="00BD37DD"/>
    <w:rsid w:val="00C85E73"/>
    <w:rsid w:val="00C87D7C"/>
    <w:rsid w:val="00C87DDB"/>
    <w:rsid w:val="00C91C05"/>
    <w:rsid w:val="00C940B3"/>
    <w:rsid w:val="00D034CF"/>
    <w:rsid w:val="00D60B77"/>
    <w:rsid w:val="00DC0B59"/>
    <w:rsid w:val="00DD3DAC"/>
    <w:rsid w:val="00E97177"/>
    <w:rsid w:val="00F17352"/>
    <w:rsid w:val="00F65BA0"/>
    <w:rsid w:val="00F73686"/>
    <w:rsid w:val="00F856D8"/>
    <w:rsid w:val="00F85C1C"/>
    <w:rsid w:val="00FA135A"/>
    <w:rsid w:val="00FA3958"/>
    <w:rsid w:val="00FD7738"/>
    <w:rsid w:val="00FE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D1F55"/>
  <w15:chartTrackingRefBased/>
  <w15:docId w15:val="{0C7E08B8-A8B4-451F-B44F-CDF7312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D77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FD773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C87DDB"/>
    <w:pPr>
      <w:ind w:left="720"/>
      <w:contextualSpacing/>
    </w:pPr>
  </w:style>
  <w:style w:type="paragraph" w:styleId="Header">
    <w:name w:val="header"/>
    <w:basedOn w:val="Normal"/>
    <w:link w:val="HeaderChar"/>
    <w:uiPriority w:val="99"/>
    <w:unhideWhenUsed/>
    <w:rsid w:val="00C87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DDB"/>
  </w:style>
  <w:style w:type="paragraph" w:styleId="Footer">
    <w:name w:val="footer"/>
    <w:basedOn w:val="Normal"/>
    <w:link w:val="FooterChar"/>
    <w:uiPriority w:val="99"/>
    <w:unhideWhenUsed/>
    <w:rsid w:val="00C87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DDB"/>
  </w:style>
  <w:style w:type="paragraph" w:customStyle="1" w:styleId="Default">
    <w:name w:val="Default"/>
    <w:rsid w:val="005828E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4761E"/>
    <w:pPr>
      <w:spacing w:before="100" w:beforeAutospacing="1" w:after="100" w:afterAutospacing="1" w:line="240" w:lineRule="auto"/>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335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Frantz, Dolores</cp:lastModifiedBy>
  <cp:revision>5</cp:revision>
  <cp:lastPrinted>2019-02-11T14:10:00Z</cp:lastPrinted>
  <dcterms:created xsi:type="dcterms:W3CDTF">2019-02-11T14:06:00Z</dcterms:created>
  <dcterms:modified xsi:type="dcterms:W3CDTF">2019-02-11T14:10:00Z</dcterms:modified>
</cp:coreProperties>
</file>