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590"/>
        <w:gridCol w:w="4320"/>
      </w:tblGrid>
      <w:tr w:rsidR="00FD7738" w:rsidTr="000D1F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950" w:type="dxa"/>
            <w:gridSpan w:val="3"/>
            <w:tcBorders>
              <w:top w:val="none" w:sz="0" w:space="0" w:color="auto"/>
              <w:bottom w:val="none" w:sz="0" w:space="0" w:color="auto"/>
            </w:tcBorders>
          </w:tcPr>
          <w:p w:rsidR="00FD7738" w:rsidRDefault="00FD7738" w:rsidP="00FD7738">
            <w:pPr>
              <w:jc w:val="center"/>
              <w:rPr>
                <w:rFonts w:asciiTheme="majorHAnsi" w:hAnsiTheme="majorHAnsi" w:cstheme="majorHAnsi"/>
                <w:b w:val="0"/>
                <w:bCs w:val="0"/>
                <w:sz w:val="24"/>
                <w:szCs w:val="24"/>
              </w:rPr>
            </w:pPr>
            <w:r w:rsidRPr="00C87DDB">
              <w:rPr>
                <w:rFonts w:asciiTheme="majorHAnsi" w:hAnsiTheme="majorHAnsi" w:cstheme="majorHAnsi"/>
                <w:sz w:val="24"/>
                <w:szCs w:val="24"/>
              </w:rPr>
              <w:t>ISAC Recommendation #</w:t>
            </w:r>
            <w:r w:rsidR="001E3F8B">
              <w:rPr>
                <w:rFonts w:asciiTheme="majorHAnsi" w:hAnsiTheme="majorHAnsi" w:cstheme="majorHAnsi"/>
                <w:sz w:val="24"/>
                <w:szCs w:val="24"/>
              </w:rPr>
              <w:t>10</w:t>
            </w:r>
            <w:r w:rsidRPr="00C87DDB">
              <w:rPr>
                <w:rFonts w:asciiTheme="majorHAnsi" w:hAnsiTheme="majorHAnsi" w:cstheme="majorHAnsi"/>
                <w:sz w:val="24"/>
                <w:szCs w:val="24"/>
              </w:rPr>
              <w:t xml:space="preserve">: </w:t>
            </w:r>
            <w:r w:rsidR="001E3F8B">
              <w:rPr>
                <w:rFonts w:asciiTheme="majorHAnsi" w:hAnsiTheme="majorHAnsi" w:cstheme="majorHAnsi"/>
                <w:sz w:val="24"/>
                <w:szCs w:val="24"/>
              </w:rPr>
              <w:t>Expand Options for Community Living</w:t>
            </w:r>
          </w:p>
          <w:p w:rsidR="00C87DDB" w:rsidRPr="00C87DDB" w:rsidRDefault="00C87DDB" w:rsidP="00FD7738">
            <w:pPr>
              <w:jc w:val="center"/>
              <w:rPr>
                <w:rFonts w:asciiTheme="majorHAnsi" w:hAnsiTheme="majorHAnsi" w:cstheme="majorHAnsi"/>
                <w:b w:val="0"/>
                <w:bCs w:val="0"/>
                <w:sz w:val="24"/>
                <w:szCs w:val="24"/>
              </w:rPr>
            </w:pPr>
          </w:p>
          <w:p w:rsidR="001E3F8B" w:rsidRPr="001E3F8B" w:rsidRDefault="001E3F8B" w:rsidP="001E3F8B">
            <w:pPr>
              <w:ind w:left="28"/>
              <w:rPr>
                <w:b w:val="0"/>
              </w:rPr>
            </w:pPr>
            <w:r w:rsidRPr="00BA535B">
              <w:rPr>
                <w:noProof/>
                <w:sz w:val="36"/>
                <w:szCs w:val="36"/>
              </w:rPr>
              <w:drawing>
                <wp:anchor distT="0" distB="0" distL="114300" distR="114300" simplePos="0" relativeHeight="251659264" behindDoc="0" locked="0" layoutInCell="1" allowOverlap="1" wp14:anchorId="06F3DB77" wp14:editId="0AA6A28B">
                  <wp:simplePos x="0" y="0"/>
                  <wp:positionH relativeFrom="column">
                    <wp:posOffset>86995</wp:posOffset>
                  </wp:positionH>
                  <wp:positionV relativeFrom="paragraph">
                    <wp:posOffset>81915</wp:posOffset>
                  </wp:positionV>
                  <wp:extent cx="482600" cy="48260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Pr="001E3F8B">
              <w:rPr>
                <w:b w:val="0"/>
              </w:rPr>
              <w:t>Expand the range of housing options in the community so all people can live where and with whom they want to live. Listening to people with disabilities and their families, providers, and Support Coordinators will help people locate affordable and accessible housing, find house mates, and identify housing resources/supports and other government benefits that, when blended with natural supports, will promote an everyday life.</w:t>
            </w:r>
          </w:p>
          <w:p w:rsidR="00C87DDB" w:rsidRPr="00047060" w:rsidRDefault="00C87DDB" w:rsidP="00B22D8B">
            <w:pPr>
              <w:rPr>
                <w:b w:val="0"/>
              </w:rPr>
            </w:pPr>
          </w:p>
        </w:tc>
      </w:tr>
      <w:tr w:rsidR="00FD7738" w:rsidTr="000D1F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bottom w:val="none" w:sz="0" w:space="0" w:color="auto"/>
              <w:right w:val="none" w:sz="0" w:space="0" w:color="auto"/>
            </w:tcBorders>
          </w:tcPr>
          <w:p w:rsidR="00FD7738" w:rsidRPr="00C87DDB" w:rsidRDefault="00FD7738" w:rsidP="00FD7738">
            <w:pPr>
              <w:jc w:val="center"/>
              <w:rPr>
                <w:rFonts w:asciiTheme="majorHAnsi" w:hAnsiTheme="majorHAnsi" w:cstheme="majorHAnsi"/>
              </w:rPr>
            </w:pPr>
            <w:r w:rsidRPr="00C87DDB">
              <w:rPr>
                <w:rFonts w:asciiTheme="majorHAnsi" w:hAnsiTheme="majorHAnsi" w:cstheme="majorHAnsi"/>
              </w:rPr>
              <w:t>Current Strategy</w:t>
            </w:r>
          </w:p>
        </w:tc>
        <w:tc>
          <w:tcPr>
            <w:tcW w:w="4590" w:type="dxa"/>
            <w:tcBorders>
              <w:top w:val="none" w:sz="0" w:space="0" w:color="auto"/>
              <w:left w:val="none" w:sz="0" w:space="0" w:color="auto"/>
              <w:bottom w:val="none" w:sz="0" w:space="0" w:color="auto"/>
              <w:right w:val="none" w:sz="0" w:space="0" w:color="auto"/>
            </w:tcBorders>
          </w:tcPr>
          <w:p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Accomplishments that support this Strategy</w:t>
            </w:r>
          </w:p>
        </w:tc>
        <w:tc>
          <w:tcPr>
            <w:tcW w:w="4320" w:type="dxa"/>
            <w:tcBorders>
              <w:top w:val="none" w:sz="0" w:space="0" w:color="auto"/>
              <w:left w:val="none" w:sz="0" w:space="0" w:color="auto"/>
              <w:bottom w:val="none" w:sz="0" w:space="0" w:color="auto"/>
            </w:tcBorders>
          </w:tcPr>
          <w:p w:rsidR="00E7396D"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 xml:space="preserve">Recommendation for this Strategy </w:t>
            </w:r>
          </w:p>
          <w:p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w:t>
            </w:r>
            <w:r w:rsidR="00380506">
              <w:rPr>
                <w:rFonts w:asciiTheme="majorHAnsi" w:hAnsiTheme="majorHAnsi" w:cstheme="majorHAnsi"/>
              </w:rPr>
              <w:t xml:space="preserve">retain, </w:t>
            </w:r>
            <w:r w:rsidRPr="00C87DDB">
              <w:rPr>
                <w:rFonts w:asciiTheme="majorHAnsi" w:hAnsiTheme="majorHAnsi" w:cstheme="majorHAnsi"/>
              </w:rPr>
              <w:t>revise, replace)</w:t>
            </w:r>
          </w:p>
        </w:tc>
      </w:tr>
      <w:tr w:rsidR="00FD7738" w:rsidTr="000D1F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rsidR="001E3F8B" w:rsidRDefault="001E3F8B" w:rsidP="001E3F8B">
            <w:pPr>
              <w:numPr>
                <w:ilvl w:val="0"/>
                <w:numId w:val="13"/>
              </w:numPr>
              <w:contextualSpacing/>
              <w:rPr>
                <w:b w:val="0"/>
              </w:rPr>
            </w:pPr>
            <w:r w:rsidRPr="001E3F8B">
              <w:rPr>
                <w:b w:val="0"/>
              </w:rPr>
              <w:t>Establish a housing transition and tenancy sustaining service definition: Direct services provided to assist individuals and self-advocates with planning, locating, and maintaining a home of their own. Services include:</w:t>
            </w:r>
          </w:p>
          <w:p w:rsidR="001E3F8B" w:rsidRPr="001E3F8B" w:rsidRDefault="001E3F8B" w:rsidP="00A714F9">
            <w:pPr>
              <w:pStyle w:val="ListParagraph"/>
              <w:numPr>
                <w:ilvl w:val="0"/>
                <w:numId w:val="16"/>
              </w:numPr>
              <w:rPr>
                <w:b w:val="0"/>
              </w:rPr>
            </w:pPr>
            <w:r>
              <w:rPr>
                <w:b w:val="0"/>
              </w:rPr>
              <w:t>a</w:t>
            </w:r>
            <w:r w:rsidRPr="001E3F8B">
              <w:rPr>
                <w:b w:val="0"/>
              </w:rPr>
              <w:t>ssessing the individual’s community living skills and housing needs;</w:t>
            </w:r>
          </w:p>
          <w:p w:rsidR="001E3F8B" w:rsidRPr="001E3F8B" w:rsidRDefault="001E3F8B" w:rsidP="00A714F9">
            <w:pPr>
              <w:pStyle w:val="ListParagraph"/>
              <w:numPr>
                <w:ilvl w:val="0"/>
                <w:numId w:val="16"/>
              </w:numPr>
              <w:rPr>
                <w:b w:val="0"/>
              </w:rPr>
            </w:pPr>
            <w:r w:rsidRPr="001E3F8B">
              <w:rPr>
                <w:b w:val="0"/>
              </w:rPr>
              <w:t>assistance with:</w:t>
            </w:r>
          </w:p>
          <w:p w:rsidR="001E3F8B" w:rsidRPr="001E3F8B" w:rsidRDefault="001E3F8B" w:rsidP="001E3F8B">
            <w:pPr>
              <w:numPr>
                <w:ilvl w:val="1"/>
                <w:numId w:val="13"/>
              </w:numPr>
              <w:contextualSpacing/>
              <w:rPr>
                <w:b w:val="0"/>
              </w:rPr>
            </w:pPr>
            <w:r w:rsidRPr="001E3F8B">
              <w:rPr>
                <w:b w:val="0"/>
              </w:rPr>
              <w:t>locating housing;</w:t>
            </w:r>
          </w:p>
          <w:p w:rsidR="001E3F8B" w:rsidRPr="001E3F8B" w:rsidRDefault="001E3F8B" w:rsidP="001E3F8B">
            <w:pPr>
              <w:numPr>
                <w:ilvl w:val="1"/>
                <w:numId w:val="13"/>
              </w:numPr>
              <w:contextualSpacing/>
              <w:rPr>
                <w:b w:val="0"/>
              </w:rPr>
            </w:pPr>
            <w:r w:rsidRPr="001E3F8B">
              <w:rPr>
                <w:b w:val="0"/>
              </w:rPr>
              <w:t>applying for housing vouchers/applications;</w:t>
            </w:r>
          </w:p>
          <w:p w:rsidR="001E3F8B" w:rsidRPr="001E3F8B" w:rsidRDefault="001E3F8B" w:rsidP="001E3F8B">
            <w:pPr>
              <w:numPr>
                <w:ilvl w:val="1"/>
                <w:numId w:val="13"/>
              </w:numPr>
              <w:contextualSpacing/>
              <w:rPr>
                <w:b w:val="0"/>
              </w:rPr>
            </w:pPr>
            <w:r w:rsidRPr="001E3F8B">
              <w:rPr>
                <w:b w:val="0"/>
              </w:rPr>
              <w:t>finding and establishing a relationship with a housemate;</w:t>
            </w:r>
          </w:p>
          <w:p w:rsidR="001E3F8B" w:rsidRPr="001E3F8B" w:rsidRDefault="001E3F8B" w:rsidP="001E3F8B">
            <w:pPr>
              <w:numPr>
                <w:ilvl w:val="1"/>
                <w:numId w:val="13"/>
              </w:numPr>
              <w:contextualSpacing/>
              <w:rPr>
                <w:b w:val="0"/>
              </w:rPr>
            </w:pPr>
            <w:r w:rsidRPr="001E3F8B">
              <w:rPr>
                <w:b w:val="0"/>
              </w:rPr>
              <w:t>financial planning and education family including special needs trusts and ABLE accounts;</w:t>
            </w:r>
          </w:p>
          <w:p w:rsidR="001E3F8B" w:rsidRPr="001E3F8B" w:rsidRDefault="001E3F8B" w:rsidP="001E3F8B">
            <w:pPr>
              <w:numPr>
                <w:ilvl w:val="1"/>
                <w:numId w:val="13"/>
              </w:numPr>
              <w:contextualSpacing/>
              <w:rPr>
                <w:b w:val="0"/>
              </w:rPr>
            </w:pPr>
            <w:r w:rsidRPr="001E3F8B">
              <w:rPr>
                <w:b w:val="0"/>
              </w:rPr>
              <w:t>communicating with landlords;</w:t>
            </w:r>
          </w:p>
          <w:p w:rsidR="001E3F8B" w:rsidRPr="001E3F8B" w:rsidRDefault="001E3F8B" w:rsidP="001E3F8B">
            <w:pPr>
              <w:numPr>
                <w:ilvl w:val="1"/>
                <w:numId w:val="13"/>
              </w:numPr>
              <w:contextualSpacing/>
              <w:rPr>
                <w:b w:val="0"/>
              </w:rPr>
            </w:pPr>
            <w:r w:rsidRPr="001E3F8B">
              <w:rPr>
                <w:b w:val="0"/>
              </w:rPr>
              <w:t>arranging for home modifications and repairs; consider warranty periods;</w:t>
            </w:r>
          </w:p>
          <w:p w:rsidR="001E3F8B" w:rsidRPr="001E3F8B" w:rsidRDefault="001E3F8B" w:rsidP="001E3F8B">
            <w:pPr>
              <w:numPr>
                <w:ilvl w:val="1"/>
                <w:numId w:val="13"/>
              </w:numPr>
              <w:contextualSpacing/>
              <w:rPr>
                <w:b w:val="0"/>
              </w:rPr>
            </w:pPr>
            <w:r w:rsidRPr="001E3F8B">
              <w:rPr>
                <w:b w:val="0"/>
              </w:rPr>
              <w:t>making security payments and monthly payments;</w:t>
            </w:r>
          </w:p>
          <w:p w:rsidR="001E3F8B" w:rsidRPr="001E3F8B" w:rsidRDefault="001E3F8B" w:rsidP="001E3F8B">
            <w:pPr>
              <w:numPr>
                <w:ilvl w:val="1"/>
                <w:numId w:val="13"/>
              </w:numPr>
              <w:contextualSpacing/>
              <w:rPr>
                <w:b w:val="0"/>
              </w:rPr>
            </w:pPr>
            <w:r w:rsidRPr="001E3F8B">
              <w:rPr>
                <w:b w:val="0"/>
              </w:rPr>
              <w:t>purchasing necessary home security devices;</w:t>
            </w:r>
          </w:p>
          <w:p w:rsidR="001E3F8B" w:rsidRPr="001E3F8B" w:rsidRDefault="001E3F8B" w:rsidP="001E3F8B">
            <w:pPr>
              <w:numPr>
                <w:ilvl w:val="1"/>
                <w:numId w:val="13"/>
              </w:numPr>
              <w:contextualSpacing/>
              <w:rPr>
                <w:b w:val="0"/>
              </w:rPr>
            </w:pPr>
            <w:r w:rsidRPr="001E3F8B">
              <w:rPr>
                <w:b w:val="0"/>
              </w:rPr>
              <w:t xml:space="preserve">obtaining and using assistive technology; </w:t>
            </w:r>
          </w:p>
          <w:p w:rsidR="001E3F8B" w:rsidRPr="001E3F8B" w:rsidRDefault="001E3F8B" w:rsidP="001E3F8B">
            <w:pPr>
              <w:numPr>
                <w:ilvl w:val="1"/>
                <w:numId w:val="13"/>
              </w:numPr>
              <w:contextualSpacing/>
              <w:rPr>
                <w:b w:val="0"/>
              </w:rPr>
            </w:pPr>
            <w:r w:rsidRPr="001E3F8B">
              <w:rPr>
                <w:b w:val="0"/>
              </w:rPr>
              <w:t xml:space="preserve">coordinating the move; </w:t>
            </w:r>
          </w:p>
          <w:p w:rsidR="001E3F8B" w:rsidRPr="001E3F8B" w:rsidRDefault="001E3F8B" w:rsidP="001E3F8B">
            <w:pPr>
              <w:numPr>
                <w:ilvl w:val="1"/>
                <w:numId w:val="13"/>
              </w:numPr>
              <w:contextualSpacing/>
              <w:rPr>
                <w:b w:val="0"/>
              </w:rPr>
            </w:pPr>
            <w:r w:rsidRPr="001E3F8B">
              <w:rPr>
                <w:b w:val="0"/>
              </w:rPr>
              <w:t xml:space="preserve">arranging support services; </w:t>
            </w:r>
          </w:p>
          <w:p w:rsidR="001E3F8B" w:rsidRPr="001E3F8B" w:rsidRDefault="001E3F8B" w:rsidP="001E3F8B">
            <w:pPr>
              <w:numPr>
                <w:ilvl w:val="1"/>
                <w:numId w:val="13"/>
              </w:numPr>
              <w:contextualSpacing/>
              <w:rPr>
                <w:b w:val="0"/>
              </w:rPr>
            </w:pPr>
            <w:r w:rsidRPr="001E3F8B">
              <w:rPr>
                <w:b w:val="0"/>
              </w:rPr>
              <w:t>securing government benefits, household furnishings, and utility assistance; and</w:t>
            </w:r>
          </w:p>
          <w:p w:rsidR="000D1F9C" w:rsidRPr="001E3F8B" w:rsidRDefault="001E3F8B" w:rsidP="001E3F8B">
            <w:pPr>
              <w:pStyle w:val="ListParagraph"/>
              <w:numPr>
                <w:ilvl w:val="1"/>
                <w:numId w:val="13"/>
              </w:numPr>
            </w:pPr>
            <w:r w:rsidRPr="001E3F8B">
              <w:rPr>
                <w:b w:val="0"/>
              </w:rPr>
              <w:t>providing training on tenant rights, empowerment, advocacy, and how to be a good tenant.</w:t>
            </w:r>
          </w:p>
        </w:tc>
        <w:tc>
          <w:tcPr>
            <w:tcW w:w="4590" w:type="dxa"/>
          </w:tcPr>
          <w:p w:rsidR="008554E7" w:rsidRDefault="008554E7" w:rsidP="008554E7">
            <w:pPr>
              <w:pStyle w:val="ListParagraph"/>
              <w:numPr>
                <w:ilvl w:val="1"/>
                <w:numId w:val="13"/>
              </w:numPr>
              <w:jc w:val="both"/>
              <w:cnfStyle w:val="000000100000" w:firstRow="0" w:lastRow="0" w:firstColumn="0" w:lastColumn="0" w:oddVBand="0" w:evenVBand="0" w:oddHBand="1" w:evenHBand="0" w:firstRowFirstColumn="0" w:firstRowLastColumn="0" w:lastRowFirstColumn="0" w:lastRowLastColumn="0"/>
            </w:pPr>
            <w:r>
              <w:t>Enrolled several providers who are beginning to deliver this service.</w:t>
            </w:r>
          </w:p>
          <w:p w:rsidR="00FD7738" w:rsidRPr="00047060" w:rsidRDefault="008554E7" w:rsidP="008554E7">
            <w:pPr>
              <w:pStyle w:val="ListParagraph"/>
              <w:numPr>
                <w:ilvl w:val="1"/>
                <w:numId w:val="13"/>
              </w:numPr>
              <w:jc w:val="both"/>
              <w:cnfStyle w:val="000000100000" w:firstRow="0" w:lastRow="0" w:firstColumn="0" w:lastColumn="0" w:oddVBand="0" w:evenVBand="0" w:oddHBand="1" w:evenHBand="0" w:firstRowFirstColumn="0" w:firstRowLastColumn="0" w:lastRowFirstColumn="0" w:lastRowLastColumn="0"/>
            </w:pPr>
            <w:r>
              <w:t xml:space="preserve">Authorized services for individuals to plan, locate and maintain a home of their own. </w:t>
            </w:r>
          </w:p>
        </w:tc>
        <w:tc>
          <w:tcPr>
            <w:tcW w:w="4320" w:type="dxa"/>
          </w:tcPr>
          <w:p w:rsidR="00FD7738" w:rsidRDefault="008554E7" w:rsidP="008554E7">
            <w:pPr>
              <w:pStyle w:val="ListParagraph"/>
              <w:numPr>
                <w:ilvl w:val="1"/>
                <w:numId w:val="13"/>
              </w:numPr>
              <w:jc w:val="both"/>
              <w:cnfStyle w:val="000000100000" w:firstRow="0" w:lastRow="0" w:firstColumn="0" w:lastColumn="0" w:oddVBand="0" w:evenVBand="0" w:oddHBand="1" w:evenHBand="0" w:firstRowFirstColumn="0" w:firstRowLastColumn="0" w:lastRowFirstColumn="0" w:lastRowLastColumn="0"/>
            </w:pPr>
            <w:r>
              <w:t>Review the services definition and limits to determine if it is meeting the needs.</w:t>
            </w:r>
          </w:p>
          <w:p w:rsidR="008554E7" w:rsidRDefault="008554E7" w:rsidP="008554E7">
            <w:pPr>
              <w:pStyle w:val="ListParagraph"/>
              <w:numPr>
                <w:ilvl w:val="1"/>
                <w:numId w:val="13"/>
              </w:numPr>
              <w:jc w:val="both"/>
              <w:cnfStyle w:val="000000100000" w:firstRow="0" w:lastRow="0" w:firstColumn="0" w:lastColumn="0" w:oddVBand="0" w:evenVBand="0" w:oddHBand="1" w:evenHBand="0" w:firstRowFirstColumn="0" w:firstRowLastColumn="0" w:lastRowFirstColumn="0" w:lastRowLastColumn="0"/>
            </w:pPr>
            <w:r>
              <w:t>Review the rate to ensure it is adequate.</w:t>
            </w:r>
          </w:p>
          <w:p w:rsidR="008554E7" w:rsidRPr="00047060" w:rsidRDefault="008554E7" w:rsidP="008554E7">
            <w:pPr>
              <w:pStyle w:val="ListParagraph"/>
              <w:numPr>
                <w:ilvl w:val="1"/>
                <w:numId w:val="13"/>
              </w:numPr>
              <w:jc w:val="both"/>
              <w:cnfStyle w:val="000000100000" w:firstRow="0" w:lastRow="0" w:firstColumn="0" w:lastColumn="0" w:oddVBand="0" w:evenVBand="0" w:oddHBand="1" w:evenHBand="0" w:firstRowFirstColumn="0" w:firstRowLastColumn="0" w:lastRowFirstColumn="0" w:lastRowLastColumn="0"/>
            </w:pPr>
            <w:r>
              <w:t>Develop a training for SCOs, AEs and providers on the service.</w:t>
            </w:r>
          </w:p>
        </w:tc>
      </w:tr>
      <w:tr w:rsidR="00FD7738" w:rsidTr="000D1F9C">
        <w:trPr>
          <w:jc w:val="center"/>
        </w:trPr>
        <w:tc>
          <w:tcPr>
            <w:cnfStyle w:val="001000000000" w:firstRow="0" w:lastRow="0" w:firstColumn="1" w:lastColumn="0" w:oddVBand="0" w:evenVBand="0" w:oddHBand="0" w:evenHBand="0" w:firstRowFirstColumn="0" w:firstRowLastColumn="0" w:lastRowFirstColumn="0" w:lastRowLastColumn="0"/>
            <w:tcW w:w="5040" w:type="dxa"/>
          </w:tcPr>
          <w:p w:rsidR="00A714F9" w:rsidRDefault="00A714F9" w:rsidP="00A714F9">
            <w:pPr>
              <w:numPr>
                <w:ilvl w:val="0"/>
                <w:numId w:val="13"/>
              </w:numPr>
              <w:spacing w:after="60"/>
              <w:rPr>
                <w:b w:val="0"/>
              </w:rPr>
            </w:pPr>
            <w:r w:rsidRPr="00A714F9">
              <w:rPr>
                <w:b w:val="0"/>
              </w:rPr>
              <w:t>Expand understanding of what is possible.</w:t>
            </w:r>
          </w:p>
          <w:p w:rsidR="00A714F9" w:rsidRPr="00A714F9" w:rsidRDefault="00A714F9" w:rsidP="00A714F9">
            <w:pPr>
              <w:numPr>
                <w:ilvl w:val="1"/>
                <w:numId w:val="13"/>
              </w:numPr>
              <w:spacing w:after="60"/>
              <w:rPr>
                <w:b w:val="0"/>
              </w:rPr>
            </w:pPr>
            <w:r w:rsidRPr="00A714F9">
              <w:rPr>
                <w:b w:val="0"/>
              </w:rPr>
              <w:t>Promote development and distribution of education/training/technical assistance to individuals and self-advocates to increase knowledge of options and ability to make informed choices.</w:t>
            </w:r>
          </w:p>
          <w:p w:rsidR="00FD7738" w:rsidRPr="00A714F9" w:rsidRDefault="00A714F9" w:rsidP="00A714F9">
            <w:pPr>
              <w:numPr>
                <w:ilvl w:val="1"/>
                <w:numId w:val="13"/>
              </w:numPr>
              <w:spacing w:after="60"/>
              <w:rPr>
                <w:b w:val="0"/>
              </w:rPr>
            </w:pPr>
            <w:r w:rsidRPr="00A714F9">
              <w:rPr>
                <w:b w:val="0"/>
              </w:rPr>
              <w:t xml:space="preserve">Ensure development and distribution of education/training/technical assistance for families through the Supporting Families initiative. This should include planning for the future so that families can explore what is possible. The education should include items like ABLE accounts, sustaining housing, and community support. </w:t>
            </w:r>
          </w:p>
        </w:tc>
        <w:tc>
          <w:tcPr>
            <w:tcW w:w="4590" w:type="dxa"/>
          </w:tcPr>
          <w:p w:rsidR="00FD7738" w:rsidRDefault="008554E7" w:rsidP="008554E7">
            <w:pPr>
              <w:pStyle w:val="ListParagraph"/>
              <w:numPr>
                <w:ilvl w:val="1"/>
                <w:numId w:val="13"/>
              </w:numPr>
              <w:jc w:val="both"/>
              <w:cnfStyle w:val="000000000000" w:firstRow="0" w:lastRow="0" w:firstColumn="0" w:lastColumn="0" w:oddVBand="0" w:evenVBand="0" w:oddHBand="0" w:evenHBand="0" w:firstRowFirstColumn="0" w:firstRowLastColumn="0" w:lastRowFirstColumn="0" w:lastRowLastColumn="0"/>
            </w:pPr>
            <w:r>
              <w:t>Development and delivery of trainings specifically directed at individuals using the Community of Practice.</w:t>
            </w:r>
          </w:p>
          <w:p w:rsidR="008554E7" w:rsidRPr="00047060" w:rsidRDefault="008554E7" w:rsidP="008554E7">
            <w:pPr>
              <w:pStyle w:val="ListParagraph"/>
              <w:numPr>
                <w:ilvl w:val="1"/>
                <w:numId w:val="13"/>
              </w:numPr>
              <w:jc w:val="both"/>
              <w:cnfStyle w:val="000000000000" w:firstRow="0" w:lastRow="0" w:firstColumn="0" w:lastColumn="0" w:oddVBand="0" w:evenVBand="0" w:oddHBand="0" w:evenHBand="0" w:firstRowFirstColumn="0" w:firstRowLastColumn="0" w:lastRowFirstColumn="0" w:lastRowLastColumn="0"/>
            </w:pPr>
            <w:r>
              <w:t>Each regional Community of Practice lead conducts outreach trainings and presentations directed at supporting individuals and their families to explore what it possible.</w:t>
            </w:r>
          </w:p>
        </w:tc>
        <w:tc>
          <w:tcPr>
            <w:tcW w:w="4320" w:type="dxa"/>
          </w:tcPr>
          <w:p w:rsidR="00FD7738" w:rsidRPr="00047060" w:rsidRDefault="00FD7738" w:rsidP="00A91524">
            <w:pPr>
              <w:jc w:val="both"/>
              <w:cnfStyle w:val="000000000000" w:firstRow="0" w:lastRow="0" w:firstColumn="0" w:lastColumn="0" w:oddVBand="0" w:evenVBand="0" w:oddHBand="0" w:evenHBand="0" w:firstRowFirstColumn="0" w:firstRowLastColumn="0" w:lastRowFirstColumn="0" w:lastRowLastColumn="0"/>
            </w:pPr>
          </w:p>
        </w:tc>
      </w:tr>
      <w:tr w:rsidR="00A714F9" w:rsidTr="000D1F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rsidR="00A714F9" w:rsidRPr="00A714F9" w:rsidRDefault="00A714F9" w:rsidP="00A714F9">
            <w:pPr>
              <w:numPr>
                <w:ilvl w:val="0"/>
                <w:numId w:val="13"/>
              </w:numPr>
              <w:contextualSpacing/>
              <w:rPr>
                <w:b w:val="0"/>
              </w:rPr>
            </w:pPr>
            <w:r w:rsidRPr="00A714F9">
              <w:rPr>
                <w:b w:val="0"/>
              </w:rPr>
              <w:t>Expand LifeSharing to allow for the enrollment of birth families as life sharing providers.</w:t>
            </w:r>
          </w:p>
        </w:tc>
        <w:tc>
          <w:tcPr>
            <w:tcW w:w="4590" w:type="dxa"/>
          </w:tcPr>
          <w:p w:rsidR="00A714F9" w:rsidRPr="00047060" w:rsidRDefault="008554E7" w:rsidP="008554E7">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proofErr w:type="spellStart"/>
            <w:r>
              <w:t>Lifesharing</w:t>
            </w:r>
            <w:proofErr w:type="spellEnd"/>
            <w:r>
              <w:t xml:space="preserve"> has been expanded in the waiver to include birth families as a </w:t>
            </w:r>
            <w:proofErr w:type="spellStart"/>
            <w:r>
              <w:t>lifesharing</w:t>
            </w:r>
            <w:proofErr w:type="spellEnd"/>
            <w:r>
              <w:t xml:space="preserve"> provider. </w:t>
            </w:r>
          </w:p>
        </w:tc>
        <w:tc>
          <w:tcPr>
            <w:tcW w:w="4320" w:type="dxa"/>
          </w:tcPr>
          <w:p w:rsidR="00A714F9" w:rsidRPr="00047060" w:rsidRDefault="008554E7" w:rsidP="008554E7">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t>Retain this and begin to develop material to help SCs and families understand the benefit to delivering this service.</w:t>
            </w:r>
          </w:p>
        </w:tc>
      </w:tr>
      <w:tr w:rsidR="00A714F9" w:rsidTr="000D1F9C">
        <w:trPr>
          <w:jc w:val="center"/>
        </w:trPr>
        <w:tc>
          <w:tcPr>
            <w:cnfStyle w:val="001000000000" w:firstRow="0" w:lastRow="0" w:firstColumn="1" w:lastColumn="0" w:oddVBand="0" w:evenVBand="0" w:oddHBand="0" w:evenHBand="0" w:firstRowFirstColumn="0" w:firstRowLastColumn="0" w:lastRowFirstColumn="0" w:lastRowLastColumn="0"/>
            <w:tcW w:w="5040" w:type="dxa"/>
          </w:tcPr>
          <w:p w:rsidR="00A714F9" w:rsidRPr="00A714F9" w:rsidRDefault="00A714F9" w:rsidP="00A714F9">
            <w:pPr>
              <w:numPr>
                <w:ilvl w:val="0"/>
                <w:numId w:val="13"/>
              </w:numPr>
              <w:spacing w:after="60"/>
              <w:rPr>
                <w:b w:val="0"/>
              </w:rPr>
            </w:pPr>
            <w:r w:rsidRPr="00A714F9">
              <w:rPr>
                <w:b w:val="0"/>
              </w:rPr>
              <w:t>Develop a supported living option that enables individuals and self-advocates to live in their own homes with the support of an agency available to provide guidance and assistance as needed.</w:t>
            </w:r>
          </w:p>
        </w:tc>
        <w:tc>
          <w:tcPr>
            <w:tcW w:w="4590" w:type="dxa"/>
          </w:tcPr>
          <w:p w:rsidR="00A714F9" w:rsidRPr="00047060" w:rsidRDefault="008554E7" w:rsidP="008554E7">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Supported Living services definitions has been developed and added to the ID/A waivers.</w:t>
            </w:r>
          </w:p>
        </w:tc>
        <w:tc>
          <w:tcPr>
            <w:tcW w:w="4320" w:type="dxa"/>
          </w:tcPr>
          <w:p w:rsidR="00A714F9" w:rsidRDefault="008554E7" w:rsidP="008554E7">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 xml:space="preserve">Continue to promote this service as </w:t>
            </w:r>
            <w:proofErr w:type="gramStart"/>
            <w:r>
              <w:t>a</w:t>
            </w:r>
            <w:proofErr w:type="gramEnd"/>
            <w:r>
              <w:t xml:space="preserve"> alternative to residential habilitation.</w:t>
            </w:r>
          </w:p>
          <w:p w:rsidR="008554E7" w:rsidRPr="00047060" w:rsidRDefault="008554E7" w:rsidP="008554E7">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Develop more specific material to help SCs explain the benefit of the services to individuals and families.</w:t>
            </w:r>
          </w:p>
        </w:tc>
      </w:tr>
      <w:tr w:rsidR="00A714F9" w:rsidTr="000D1F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rsidR="00A714F9" w:rsidRPr="00A714F9" w:rsidRDefault="00A714F9" w:rsidP="00A714F9">
            <w:pPr>
              <w:numPr>
                <w:ilvl w:val="0"/>
                <w:numId w:val="13"/>
              </w:numPr>
              <w:spacing w:after="60"/>
              <w:rPr>
                <w:b w:val="0"/>
              </w:rPr>
            </w:pPr>
            <w:r w:rsidRPr="00A714F9">
              <w:rPr>
                <w:b w:val="0"/>
              </w:rPr>
              <w:t>Provide training to Supports Coordinators on the varied options for community living.</w:t>
            </w:r>
          </w:p>
        </w:tc>
        <w:tc>
          <w:tcPr>
            <w:tcW w:w="4590" w:type="dxa"/>
          </w:tcPr>
          <w:p w:rsidR="00A714F9" w:rsidRPr="00047060" w:rsidRDefault="008554E7" w:rsidP="008554E7">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pPr>
            <w:r>
              <w:t xml:space="preserve">Webinars were delivered to SCs regarding the new community living options. </w:t>
            </w:r>
          </w:p>
        </w:tc>
        <w:tc>
          <w:tcPr>
            <w:tcW w:w="4320" w:type="dxa"/>
          </w:tcPr>
          <w:p w:rsidR="00A714F9" w:rsidRPr="00047060" w:rsidRDefault="008554E7" w:rsidP="008554E7">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pPr>
            <w:r>
              <w:t xml:space="preserve">As stated above, develop additional training based on the experience thus far. </w:t>
            </w:r>
          </w:p>
        </w:tc>
      </w:tr>
      <w:tr w:rsidR="00A714F9" w:rsidTr="000D1F9C">
        <w:trPr>
          <w:jc w:val="center"/>
        </w:trPr>
        <w:tc>
          <w:tcPr>
            <w:cnfStyle w:val="001000000000" w:firstRow="0" w:lastRow="0" w:firstColumn="1" w:lastColumn="0" w:oddVBand="0" w:evenVBand="0" w:oddHBand="0" w:evenHBand="0" w:firstRowFirstColumn="0" w:firstRowLastColumn="0" w:lastRowFirstColumn="0" w:lastRowLastColumn="0"/>
            <w:tcW w:w="5040" w:type="dxa"/>
          </w:tcPr>
          <w:p w:rsidR="00A714F9" w:rsidRPr="00A714F9" w:rsidRDefault="00A714F9" w:rsidP="00A714F9">
            <w:pPr>
              <w:numPr>
                <w:ilvl w:val="0"/>
                <w:numId w:val="13"/>
              </w:numPr>
              <w:spacing w:after="60"/>
              <w:rPr>
                <w:b w:val="0"/>
              </w:rPr>
            </w:pPr>
            <w:r w:rsidRPr="00A714F9">
              <w:rPr>
                <w:b w:val="0"/>
              </w:rPr>
              <w:t>Expand choice of options to include creative housing alternatives.</w:t>
            </w:r>
          </w:p>
        </w:tc>
        <w:tc>
          <w:tcPr>
            <w:tcW w:w="4590" w:type="dxa"/>
          </w:tcPr>
          <w:p w:rsidR="00A714F9" w:rsidRPr="00047060" w:rsidRDefault="008554E7" w:rsidP="008554E7">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pPr>
            <w:r>
              <w:t>Continue to work with PHFA on options available for individuals being supported by ODP</w:t>
            </w:r>
          </w:p>
        </w:tc>
        <w:tc>
          <w:tcPr>
            <w:tcW w:w="4320" w:type="dxa"/>
          </w:tcPr>
          <w:p w:rsidR="00A714F9" w:rsidRPr="00047060" w:rsidRDefault="008554E7" w:rsidP="008554E7">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pPr>
            <w:r>
              <w:t xml:space="preserve">Continue to work on developing more integrated options that support the EDLs philosophy. </w:t>
            </w:r>
          </w:p>
        </w:tc>
      </w:tr>
      <w:tr w:rsidR="006C3871" w:rsidTr="000D1F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rsidR="006C3871" w:rsidRPr="00A714F9" w:rsidRDefault="006C3871" w:rsidP="006C3871">
            <w:pPr>
              <w:numPr>
                <w:ilvl w:val="0"/>
                <w:numId w:val="13"/>
              </w:numPr>
              <w:spacing w:after="60"/>
              <w:rPr>
                <w:b w:val="0"/>
              </w:rPr>
            </w:pPr>
            <w:r w:rsidRPr="00A714F9">
              <w:rPr>
                <w:b w:val="0"/>
              </w:rPr>
              <w:t>Support the development of safe and affordable housing options that meet the individual’s and self-advocates personal preferences.</w:t>
            </w:r>
          </w:p>
        </w:tc>
        <w:tc>
          <w:tcPr>
            <w:tcW w:w="4590" w:type="dxa"/>
          </w:tcPr>
          <w:p w:rsidR="006C3871" w:rsidRPr="00047060" w:rsidRDefault="00792F30" w:rsidP="006C3871">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pPr>
            <w:r>
              <w:t xml:space="preserve">The housing </w:t>
            </w:r>
            <w:proofErr w:type="spellStart"/>
            <w:r>
              <w:t>transision</w:t>
            </w:r>
            <w:proofErr w:type="spellEnd"/>
            <w:r>
              <w:t xml:space="preserve"> and </w:t>
            </w:r>
            <w:proofErr w:type="spellStart"/>
            <w:r>
              <w:t>pretenancy</w:t>
            </w:r>
            <w:proofErr w:type="spellEnd"/>
            <w:r>
              <w:t xml:space="preserve"> service requires the development of a housing plan that includes the </w:t>
            </w:r>
            <w:r w:rsidR="00337C25">
              <w:t xml:space="preserve">individual personal preferences. </w:t>
            </w:r>
          </w:p>
        </w:tc>
        <w:tc>
          <w:tcPr>
            <w:tcW w:w="4320" w:type="dxa"/>
          </w:tcPr>
          <w:p w:rsidR="006C3871" w:rsidRPr="00047060" w:rsidRDefault="006C3871" w:rsidP="006C3871">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pPr>
            <w:r>
              <w:t xml:space="preserve">Work with the current providers of the Housing transition and </w:t>
            </w:r>
            <w:proofErr w:type="spellStart"/>
            <w:r>
              <w:t>pretenancy</w:t>
            </w:r>
            <w:proofErr w:type="spellEnd"/>
            <w:r>
              <w:t xml:space="preserve"> to identify options that support individual preference.</w:t>
            </w:r>
          </w:p>
        </w:tc>
      </w:tr>
      <w:tr w:rsidR="006C3871" w:rsidTr="000D1F9C">
        <w:trPr>
          <w:jc w:val="center"/>
        </w:trPr>
        <w:tc>
          <w:tcPr>
            <w:cnfStyle w:val="001000000000" w:firstRow="0" w:lastRow="0" w:firstColumn="1" w:lastColumn="0" w:oddVBand="0" w:evenVBand="0" w:oddHBand="0" w:evenHBand="0" w:firstRowFirstColumn="0" w:firstRowLastColumn="0" w:lastRowFirstColumn="0" w:lastRowLastColumn="0"/>
            <w:tcW w:w="5040" w:type="dxa"/>
          </w:tcPr>
          <w:p w:rsidR="006C3871" w:rsidRPr="00A714F9" w:rsidRDefault="006C3871" w:rsidP="006C3871">
            <w:pPr>
              <w:numPr>
                <w:ilvl w:val="0"/>
                <w:numId w:val="13"/>
              </w:numPr>
              <w:spacing w:after="60"/>
              <w:rPr>
                <w:b w:val="0"/>
              </w:rPr>
            </w:pPr>
            <w:r w:rsidRPr="00A714F9">
              <w:rPr>
                <w:b w:val="0"/>
              </w:rPr>
              <w:t xml:space="preserve">Provide access to home modifications, transportation, and assistive technology to support people to live in their homes. </w:t>
            </w:r>
          </w:p>
        </w:tc>
        <w:tc>
          <w:tcPr>
            <w:tcW w:w="4590" w:type="dxa"/>
          </w:tcPr>
          <w:p w:rsidR="006C3871" w:rsidRPr="00047060" w:rsidRDefault="00337C25" w:rsidP="00337C25">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pPr>
            <w:r>
              <w:t xml:space="preserve">The ID/A waivers include the option for home modification, transportation and assistive technology for individuals </w:t>
            </w:r>
            <w:r w:rsidR="00026DC3">
              <w:t>living in their own home.</w:t>
            </w:r>
          </w:p>
        </w:tc>
        <w:tc>
          <w:tcPr>
            <w:tcW w:w="4320" w:type="dxa"/>
          </w:tcPr>
          <w:p w:rsidR="006C3871" w:rsidRPr="00047060" w:rsidRDefault="00026DC3" w:rsidP="00026DC3">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pPr>
            <w:r>
              <w:t xml:space="preserve">Continue to help SCs and providers learn how to use technology to promote independence. </w:t>
            </w:r>
          </w:p>
        </w:tc>
      </w:tr>
    </w:tbl>
    <w:p w:rsidR="00C87DDB" w:rsidRDefault="00C87DDB"/>
    <w:tbl>
      <w:tblPr>
        <w:tblStyle w:val="GridTable2-Accent1"/>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0"/>
      </w:tblGrid>
      <w:tr w:rsidR="001F2D80" w:rsidTr="00EE30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Borders>
              <w:top w:val="none" w:sz="0" w:space="0" w:color="auto"/>
              <w:bottom w:val="none" w:sz="0" w:space="0" w:color="auto"/>
            </w:tcBorders>
          </w:tcPr>
          <w:p w:rsidR="001F2D80" w:rsidRPr="001F2D80" w:rsidRDefault="001F2D80" w:rsidP="001F2D80">
            <w:pPr>
              <w:jc w:val="center"/>
              <w:rPr>
                <w:rFonts w:asciiTheme="majorHAnsi" w:hAnsiTheme="majorHAnsi" w:cstheme="majorHAnsi"/>
                <w:b w:val="0"/>
                <w:bCs w:val="0"/>
              </w:rPr>
            </w:pPr>
            <w:r w:rsidRPr="001F2D80">
              <w:rPr>
                <w:rFonts w:asciiTheme="majorHAnsi" w:hAnsiTheme="majorHAnsi" w:cstheme="majorHAnsi"/>
              </w:rPr>
              <w:t>New Strategies and/or Strategies that have been implemented but were not included in the original 2016 list</w:t>
            </w:r>
          </w:p>
          <w:p w:rsidR="001F2D80" w:rsidRPr="00047060" w:rsidRDefault="001F2D80" w:rsidP="001F2D80">
            <w:pPr>
              <w:jc w:val="center"/>
            </w:pPr>
          </w:p>
        </w:tc>
      </w:tr>
      <w:tr w:rsidR="00E7396D" w:rsidTr="00EE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Pr>
          <w:p w:rsidR="00E7396D" w:rsidRDefault="00E7396D" w:rsidP="001F2D80">
            <w:pPr>
              <w:rPr>
                <w:rFonts w:asciiTheme="majorHAnsi" w:hAnsiTheme="majorHAnsi" w:cstheme="majorHAnsi"/>
              </w:rPr>
            </w:pPr>
            <w:r>
              <w:rPr>
                <w:rFonts w:asciiTheme="majorHAnsi" w:hAnsiTheme="majorHAnsi" w:cstheme="majorHAnsi"/>
                <w:b w:val="0"/>
                <w:bCs w:val="0"/>
              </w:rPr>
              <w:t>1.</w:t>
            </w:r>
          </w:p>
          <w:p w:rsidR="00E7396D" w:rsidRPr="001F2D80" w:rsidRDefault="00E7396D" w:rsidP="001F2D80">
            <w:pPr>
              <w:rPr>
                <w:rFonts w:asciiTheme="majorHAnsi" w:hAnsiTheme="majorHAnsi" w:cstheme="majorHAnsi"/>
              </w:rPr>
            </w:pPr>
          </w:p>
        </w:tc>
      </w:tr>
      <w:tr w:rsidR="00E7396D" w:rsidTr="00EE30AC">
        <w:trPr>
          <w:jc w:val="center"/>
        </w:trPr>
        <w:tc>
          <w:tcPr>
            <w:cnfStyle w:val="001000000000" w:firstRow="0" w:lastRow="0" w:firstColumn="1" w:lastColumn="0" w:oddVBand="0" w:evenVBand="0" w:oddHBand="0" w:evenHBand="0" w:firstRowFirstColumn="0" w:firstRowLastColumn="0" w:lastRowFirstColumn="0" w:lastRowLastColumn="0"/>
            <w:tcW w:w="13860" w:type="dxa"/>
          </w:tcPr>
          <w:p w:rsidR="00E7396D" w:rsidRDefault="00E7396D" w:rsidP="001F2D80">
            <w:pPr>
              <w:rPr>
                <w:rFonts w:asciiTheme="majorHAnsi" w:hAnsiTheme="majorHAnsi" w:cstheme="majorHAnsi"/>
              </w:rPr>
            </w:pPr>
          </w:p>
          <w:p w:rsidR="00E7396D" w:rsidRPr="001F2D80" w:rsidRDefault="00E7396D" w:rsidP="001F2D80">
            <w:pPr>
              <w:rPr>
                <w:rFonts w:asciiTheme="majorHAnsi" w:hAnsiTheme="majorHAnsi" w:cstheme="majorHAnsi"/>
              </w:rPr>
            </w:pPr>
          </w:p>
        </w:tc>
      </w:tr>
    </w:tbl>
    <w:p w:rsidR="00FA3958" w:rsidRDefault="00FA3958" w:rsidP="001F2D80">
      <w:pPr>
        <w:jc w:val="center"/>
      </w:pPr>
    </w:p>
    <w:sectPr w:rsidR="00FA3958" w:rsidSect="00E7396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98" w:rsidRDefault="00691D98" w:rsidP="00C87DDB">
      <w:pPr>
        <w:spacing w:after="0" w:line="240" w:lineRule="auto"/>
      </w:pPr>
      <w:r>
        <w:separator/>
      </w:r>
    </w:p>
  </w:endnote>
  <w:endnote w:type="continuationSeparator" w:id="0">
    <w:p w:rsidR="00691D98" w:rsidRDefault="00691D98" w:rsidP="00C8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DDB" w:rsidRDefault="00C87DDB" w:rsidP="00C87DDB">
    <w:pPr>
      <w:pStyle w:val="Footer"/>
      <w:tabs>
        <w:tab w:val="clear" w:pos="4680"/>
        <w:tab w:val="clear" w:pos="9360"/>
      </w:tabs>
      <w:rPr>
        <w:caps/>
        <w:noProof/>
        <w:color w:val="4472C4" w:themeColor="accent1"/>
      </w:rPr>
    </w:pPr>
    <w:r>
      <w:rPr>
        <w:caps/>
        <w:color w:val="4472C4" w:themeColor="accent1"/>
      </w:rPr>
      <w:t>0</w:t>
    </w:r>
    <w:r w:rsidR="00102123">
      <w:rPr>
        <w:caps/>
        <w:color w:val="4472C4" w:themeColor="accent1"/>
      </w:rPr>
      <w:t>4</w:t>
    </w:r>
    <w:r>
      <w:rPr>
        <w:caps/>
        <w:color w:val="4472C4" w:themeColor="accent1"/>
      </w:rPr>
      <w:t xml:space="preserve"> </w:t>
    </w:r>
    <w:r w:rsidR="00102123">
      <w:rPr>
        <w:caps/>
        <w:color w:val="4472C4" w:themeColor="accent1"/>
      </w:rPr>
      <w:t>29</w:t>
    </w:r>
    <w:r>
      <w:rPr>
        <w:caps/>
        <w:color w:val="4472C4" w:themeColor="accent1"/>
      </w:rPr>
      <w:t xml:space="preserve"> 19                                                                                                                                              </w:t>
    </w:r>
    <w:r w:rsidR="00E7396D">
      <w:rPr>
        <w:caps/>
        <w:color w:val="4472C4" w:themeColor="accent1"/>
      </w:rPr>
      <w:t xml:space="preserve">                                                                     </w:t>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14F9">
      <w:rPr>
        <w:caps/>
        <w:noProof/>
        <w:color w:val="4472C4" w:themeColor="accent1"/>
      </w:rPr>
      <w:t>2</w:t>
    </w:r>
    <w:r>
      <w:rPr>
        <w:caps/>
        <w:noProof/>
        <w:color w:val="4472C4" w:themeColor="accent1"/>
      </w:rPr>
      <w:fldChar w:fldCharType="end"/>
    </w:r>
  </w:p>
  <w:p w:rsidR="00C87DDB" w:rsidRDefault="00C8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98" w:rsidRDefault="00691D98" w:rsidP="00C87DDB">
      <w:pPr>
        <w:spacing w:after="0" w:line="240" w:lineRule="auto"/>
      </w:pPr>
      <w:r>
        <w:separator/>
      </w:r>
    </w:p>
  </w:footnote>
  <w:footnote w:type="continuationSeparator" w:id="0">
    <w:p w:rsidR="00691D98" w:rsidRDefault="00691D98" w:rsidP="00C8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511"/>
    <w:multiLevelType w:val="hybridMultilevel"/>
    <w:tmpl w:val="6D40880C"/>
    <w:lvl w:ilvl="0" w:tplc="0409000F">
      <w:start w:val="1"/>
      <w:numFmt w:val="decimal"/>
      <w:lvlText w:val="%1."/>
      <w:lvlJc w:val="left"/>
      <w:pPr>
        <w:ind w:left="720" w:hanging="360"/>
      </w:pPr>
    </w:lvl>
    <w:lvl w:ilvl="1" w:tplc="9F7E332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AC3"/>
    <w:multiLevelType w:val="hybridMultilevel"/>
    <w:tmpl w:val="E8989D2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345D6"/>
    <w:multiLevelType w:val="hybridMultilevel"/>
    <w:tmpl w:val="D056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169C"/>
    <w:multiLevelType w:val="hybridMultilevel"/>
    <w:tmpl w:val="6820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316A"/>
    <w:multiLevelType w:val="hybridMultilevel"/>
    <w:tmpl w:val="B42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5974"/>
    <w:multiLevelType w:val="hybridMultilevel"/>
    <w:tmpl w:val="0278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C0B30"/>
    <w:multiLevelType w:val="hybridMultilevel"/>
    <w:tmpl w:val="F1027B2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D6652"/>
    <w:multiLevelType w:val="hybridMultilevel"/>
    <w:tmpl w:val="57DCF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C35"/>
    <w:multiLevelType w:val="hybridMultilevel"/>
    <w:tmpl w:val="262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70942"/>
    <w:multiLevelType w:val="hybridMultilevel"/>
    <w:tmpl w:val="85A4521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D132F6"/>
    <w:multiLevelType w:val="hybridMultilevel"/>
    <w:tmpl w:val="78DE44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97990"/>
    <w:multiLevelType w:val="hybridMultilevel"/>
    <w:tmpl w:val="3370AA94"/>
    <w:lvl w:ilvl="0" w:tplc="0908BD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C7493F"/>
    <w:multiLevelType w:val="hybridMultilevel"/>
    <w:tmpl w:val="527CB24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000EC"/>
    <w:multiLevelType w:val="hybridMultilevel"/>
    <w:tmpl w:val="97004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DC25CD"/>
    <w:multiLevelType w:val="hybridMultilevel"/>
    <w:tmpl w:val="6828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11E71"/>
    <w:multiLevelType w:val="hybridMultilevel"/>
    <w:tmpl w:val="F33CE4E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116C9"/>
    <w:multiLevelType w:val="hybridMultilevel"/>
    <w:tmpl w:val="978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15F12"/>
    <w:multiLevelType w:val="hybridMultilevel"/>
    <w:tmpl w:val="18C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410B7"/>
    <w:multiLevelType w:val="hybridMultilevel"/>
    <w:tmpl w:val="65A860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74BF1"/>
    <w:multiLevelType w:val="hybridMultilevel"/>
    <w:tmpl w:val="784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A4B4B"/>
    <w:multiLevelType w:val="hybridMultilevel"/>
    <w:tmpl w:val="7A36CD1E"/>
    <w:lvl w:ilvl="0" w:tplc="9F146C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DE2281"/>
    <w:multiLevelType w:val="hybridMultilevel"/>
    <w:tmpl w:val="A9604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B7DF9"/>
    <w:multiLevelType w:val="hybridMultilevel"/>
    <w:tmpl w:val="411402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A79BF"/>
    <w:multiLevelType w:val="hybridMultilevel"/>
    <w:tmpl w:val="111849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1"/>
  </w:num>
  <w:num w:numId="4">
    <w:abstractNumId w:val="15"/>
  </w:num>
  <w:num w:numId="5">
    <w:abstractNumId w:val="23"/>
  </w:num>
  <w:num w:numId="6">
    <w:abstractNumId w:val="5"/>
  </w:num>
  <w:num w:numId="7">
    <w:abstractNumId w:val="21"/>
  </w:num>
  <w:num w:numId="8">
    <w:abstractNumId w:val="2"/>
  </w:num>
  <w:num w:numId="9">
    <w:abstractNumId w:val="10"/>
  </w:num>
  <w:num w:numId="10">
    <w:abstractNumId w:val="0"/>
  </w:num>
  <w:num w:numId="11">
    <w:abstractNumId w:val="22"/>
  </w:num>
  <w:num w:numId="12">
    <w:abstractNumId w:val="9"/>
  </w:num>
  <w:num w:numId="13">
    <w:abstractNumId w:val="6"/>
  </w:num>
  <w:num w:numId="14">
    <w:abstractNumId w:val="20"/>
  </w:num>
  <w:num w:numId="15">
    <w:abstractNumId w:val="7"/>
  </w:num>
  <w:num w:numId="16">
    <w:abstractNumId w:val="12"/>
  </w:num>
  <w:num w:numId="17">
    <w:abstractNumId w:val="19"/>
  </w:num>
  <w:num w:numId="18">
    <w:abstractNumId w:val="8"/>
  </w:num>
  <w:num w:numId="19">
    <w:abstractNumId w:val="16"/>
  </w:num>
  <w:num w:numId="20">
    <w:abstractNumId w:val="14"/>
  </w:num>
  <w:num w:numId="21">
    <w:abstractNumId w:val="4"/>
  </w:num>
  <w:num w:numId="22">
    <w:abstractNumId w:val="17"/>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38"/>
    <w:rsid w:val="00026DC3"/>
    <w:rsid w:val="00047060"/>
    <w:rsid w:val="000D1F9C"/>
    <w:rsid w:val="00102123"/>
    <w:rsid w:val="00170776"/>
    <w:rsid w:val="00193FC6"/>
    <w:rsid w:val="001D6B79"/>
    <w:rsid w:val="001E3F8B"/>
    <w:rsid w:val="001F2D80"/>
    <w:rsid w:val="002137A0"/>
    <w:rsid w:val="003055CE"/>
    <w:rsid w:val="00337C25"/>
    <w:rsid w:val="00380506"/>
    <w:rsid w:val="00396079"/>
    <w:rsid w:val="00451D51"/>
    <w:rsid w:val="00491F73"/>
    <w:rsid w:val="0065318F"/>
    <w:rsid w:val="00691D98"/>
    <w:rsid w:val="006C2C85"/>
    <w:rsid w:val="006C3871"/>
    <w:rsid w:val="00792F30"/>
    <w:rsid w:val="007F037D"/>
    <w:rsid w:val="0081584A"/>
    <w:rsid w:val="008554E7"/>
    <w:rsid w:val="00A714F9"/>
    <w:rsid w:val="00A91524"/>
    <w:rsid w:val="00B22D8B"/>
    <w:rsid w:val="00B76AAE"/>
    <w:rsid w:val="00BD37DD"/>
    <w:rsid w:val="00C87DDB"/>
    <w:rsid w:val="00D108DE"/>
    <w:rsid w:val="00D21A9A"/>
    <w:rsid w:val="00DB2F05"/>
    <w:rsid w:val="00DE00BC"/>
    <w:rsid w:val="00E7396D"/>
    <w:rsid w:val="00EE30AC"/>
    <w:rsid w:val="00F55F12"/>
    <w:rsid w:val="00FA3958"/>
    <w:rsid w:val="00F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1F55"/>
  <w15:chartTrackingRefBased/>
  <w15:docId w15:val="{0C7E08B8-A8B4-451F-B44F-CDF7312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77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FD77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87DDB"/>
    <w:pPr>
      <w:ind w:left="720"/>
      <w:contextualSpacing/>
    </w:pPr>
  </w:style>
  <w:style w:type="paragraph" w:styleId="Header">
    <w:name w:val="header"/>
    <w:basedOn w:val="Normal"/>
    <w:link w:val="HeaderChar"/>
    <w:uiPriority w:val="99"/>
    <w:unhideWhenUsed/>
    <w:rsid w:val="00C8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DB"/>
  </w:style>
  <w:style w:type="paragraph" w:styleId="Footer">
    <w:name w:val="footer"/>
    <w:basedOn w:val="Normal"/>
    <w:link w:val="FooterChar"/>
    <w:uiPriority w:val="99"/>
    <w:unhideWhenUsed/>
    <w:qFormat/>
    <w:rsid w:val="00C8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DB"/>
  </w:style>
  <w:style w:type="paragraph" w:styleId="BalloonText">
    <w:name w:val="Balloon Text"/>
    <w:basedOn w:val="Normal"/>
    <w:link w:val="BalloonTextChar"/>
    <w:uiPriority w:val="99"/>
    <w:semiHidden/>
    <w:unhideWhenUsed/>
    <w:rsid w:val="0065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Fortney, Angela</cp:lastModifiedBy>
  <cp:revision>7</cp:revision>
  <cp:lastPrinted>2019-02-19T19:18:00Z</cp:lastPrinted>
  <dcterms:created xsi:type="dcterms:W3CDTF">2019-05-28T15:36:00Z</dcterms:created>
  <dcterms:modified xsi:type="dcterms:W3CDTF">2019-05-28T15:40:00Z</dcterms:modified>
</cp:coreProperties>
</file>